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15" w:lineRule="atLeast"/>
        <w:ind w:left="0" w:right="0"/>
        <w:jc w:val="center"/>
        <w:rPr>
          <w:rFonts w:ascii="Arial" w:hAnsi="Arial" w:cs="Arial"/>
          <w:sz w:val="45"/>
          <w:szCs w:val="45"/>
        </w:rPr>
      </w:pPr>
      <w:bookmarkStart w:id="0" w:name="_GoBack"/>
      <w:bookmarkEnd w:id="0"/>
      <w:r>
        <w:rPr>
          <w:rFonts w:hint="eastAsia" w:ascii="Arial" w:hAnsi="Arial" w:cs="Arial"/>
          <w:sz w:val="45"/>
          <w:szCs w:val="45"/>
          <w:lang w:eastAsia="zh-CN"/>
        </w:rPr>
        <w:t>乡宁县人民政府国防动员办公室</w:t>
      </w:r>
      <w:r>
        <w:rPr>
          <w:rFonts w:hint="default" w:ascii="Arial" w:hAnsi="Arial" w:cs="Arial"/>
          <w:sz w:val="45"/>
          <w:szCs w:val="45"/>
        </w:rPr>
        <w:t>行政检查事项和依据</w:t>
      </w:r>
    </w:p>
    <w:tbl>
      <w:tblPr>
        <w:tblStyle w:val="3"/>
        <w:tblW w:w="12702"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57"/>
        <w:gridCol w:w="1425"/>
        <w:gridCol w:w="1755"/>
        <w:gridCol w:w="975"/>
        <w:gridCol w:w="6780"/>
        <w:gridCol w:w="81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9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序号</w:t>
            </w:r>
          </w:p>
        </w:tc>
        <w:tc>
          <w:tcPr>
            <w:tcW w:w="14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事项</w:t>
            </w:r>
            <w:r>
              <w:rPr>
                <w:rFonts w:hint="default" w:ascii="Arial" w:hAnsi="Arial" w:eastAsia="宋体" w:cs="Arial"/>
                <w:kern w:val="0"/>
                <w:sz w:val="21"/>
                <w:szCs w:val="21"/>
                <w:lang w:val="en-US" w:eastAsia="zh-CN" w:bidi="ar"/>
              </w:rPr>
              <w:br w:type="textWrapping"/>
            </w:r>
            <w:r>
              <w:rPr>
                <w:rFonts w:hint="default" w:ascii="Arial" w:hAnsi="Arial" w:eastAsia="宋体" w:cs="Arial"/>
                <w:kern w:val="0"/>
                <w:sz w:val="21"/>
                <w:szCs w:val="21"/>
                <w:lang w:val="en-US" w:eastAsia="zh-CN" w:bidi="ar"/>
              </w:rPr>
              <w:t>类别</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事项</w:t>
            </w:r>
            <w:r>
              <w:rPr>
                <w:rFonts w:hint="default" w:ascii="Arial" w:hAnsi="Arial" w:eastAsia="宋体" w:cs="Arial"/>
                <w:kern w:val="0"/>
                <w:sz w:val="21"/>
                <w:szCs w:val="21"/>
                <w:lang w:val="en-US" w:eastAsia="zh-CN" w:bidi="ar"/>
              </w:rPr>
              <w:br w:type="textWrapping"/>
            </w:r>
            <w:r>
              <w:rPr>
                <w:rFonts w:hint="default" w:ascii="Arial" w:hAnsi="Arial" w:eastAsia="宋体" w:cs="Arial"/>
                <w:kern w:val="0"/>
                <w:sz w:val="21"/>
                <w:szCs w:val="21"/>
                <w:lang w:val="en-US" w:eastAsia="zh-CN" w:bidi="ar"/>
              </w:rPr>
              <w:t>编码</w:t>
            </w:r>
          </w:p>
        </w:tc>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事项</w:t>
            </w:r>
            <w:r>
              <w:rPr>
                <w:rFonts w:hint="default" w:ascii="Arial" w:hAnsi="Arial" w:eastAsia="宋体" w:cs="Arial"/>
                <w:kern w:val="0"/>
                <w:sz w:val="21"/>
                <w:szCs w:val="21"/>
                <w:lang w:val="en-US" w:eastAsia="zh-CN" w:bidi="ar"/>
              </w:rPr>
              <w:br w:type="textWrapping"/>
            </w:r>
            <w:r>
              <w:rPr>
                <w:rFonts w:hint="default" w:ascii="Arial" w:hAnsi="Arial" w:eastAsia="宋体" w:cs="Arial"/>
                <w:kern w:val="0"/>
                <w:sz w:val="21"/>
                <w:szCs w:val="21"/>
                <w:lang w:val="en-US" w:eastAsia="zh-CN" w:bidi="ar"/>
              </w:rPr>
              <w:t>名称</w:t>
            </w:r>
          </w:p>
        </w:tc>
        <w:tc>
          <w:tcPr>
            <w:tcW w:w="67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事项</w:t>
            </w:r>
            <w:r>
              <w:rPr>
                <w:rFonts w:hint="default" w:ascii="Arial" w:hAnsi="Arial" w:eastAsia="宋体" w:cs="Arial"/>
                <w:kern w:val="0"/>
                <w:sz w:val="21"/>
                <w:szCs w:val="21"/>
                <w:lang w:val="en-US" w:eastAsia="zh-CN" w:bidi="ar"/>
              </w:rPr>
              <w:br w:type="textWrapping"/>
            </w:r>
            <w:r>
              <w:rPr>
                <w:rFonts w:hint="default" w:ascii="Arial" w:hAnsi="Arial" w:eastAsia="宋体" w:cs="Arial"/>
                <w:kern w:val="0"/>
                <w:sz w:val="21"/>
                <w:szCs w:val="21"/>
                <w:lang w:val="en-US" w:eastAsia="zh-CN" w:bidi="ar"/>
              </w:rPr>
              <w:t>依据</w:t>
            </w:r>
          </w:p>
        </w:tc>
        <w:tc>
          <w:tcPr>
            <w:tcW w:w="8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9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1</w:t>
            </w:r>
          </w:p>
        </w:tc>
        <w:tc>
          <w:tcPr>
            <w:tcW w:w="14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行政检查</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lang w:val="en-US"/>
              </w:rPr>
            </w:pPr>
            <w:r>
              <w:rPr>
                <w:rFonts w:hint="default" w:ascii="Arial" w:hAnsi="Arial" w:eastAsia="宋体" w:cs="Arial"/>
                <w:kern w:val="0"/>
                <w:sz w:val="21"/>
                <w:szCs w:val="21"/>
                <w:lang w:val="en-US" w:eastAsia="zh-CN" w:bidi="ar"/>
              </w:rPr>
              <w:t>2700-I-00100-1410</w:t>
            </w:r>
            <w:r>
              <w:rPr>
                <w:rFonts w:hint="eastAsia" w:ascii="Arial" w:hAnsi="Arial" w:eastAsia="宋体" w:cs="Arial"/>
                <w:kern w:val="0"/>
                <w:sz w:val="21"/>
                <w:szCs w:val="21"/>
                <w:lang w:val="en-US" w:eastAsia="zh-CN" w:bidi="ar"/>
              </w:rPr>
              <w:t>29</w:t>
            </w:r>
          </w:p>
        </w:tc>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人民防空工程质量监督</w:t>
            </w:r>
          </w:p>
        </w:tc>
        <w:tc>
          <w:tcPr>
            <w:tcW w:w="67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both"/>
              <w:rPr>
                <w:rFonts w:hint="default" w:ascii="Arial" w:hAnsi="Arial" w:cs="Arial"/>
                <w:sz w:val="21"/>
                <w:szCs w:val="21"/>
              </w:rPr>
            </w:pPr>
            <w:r>
              <w:rPr>
                <w:rFonts w:hint="default" w:ascii="Arial" w:hAnsi="Arial" w:eastAsia="宋体" w:cs="Arial"/>
                <w:kern w:val="0"/>
                <w:sz w:val="21"/>
                <w:szCs w:val="21"/>
                <w:lang w:val="en-US" w:eastAsia="zh-CN" w:bidi="ar"/>
              </w:rPr>
              <w:t>【法规】《山西省实施&lt;中华人民共和国人民防空法&gt;办法》第十五条：人民防空工程的建设程序按国家规定执行。县级以上人民防空行政主管部门按照国家规定的权限，负责人民防空工程建设项目的计划管理、设计管理、定额管理、施工质量监督和竣工验收。</w:t>
            </w:r>
            <w:r>
              <w:rPr>
                <w:rFonts w:hint="default" w:ascii="Arial" w:hAnsi="Arial" w:eastAsia="宋体" w:cs="Arial"/>
                <w:kern w:val="0"/>
                <w:sz w:val="21"/>
                <w:szCs w:val="21"/>
                <w:lang w:val="en-US" w:eastAsia="zh-CN" w:bidi="ar"/>
              </w:rPr>
              <w:br w:type="textWrapping"/>
            </w:r>
            <w:r>
              <w:rPr>
                <w:rFonts w:hint="default" w:ascii="Arial" w:hAnsi="Arial" w:eastAsia="宋体" w:cs="Arial"/>
                <w:kern w:val="0"/>
                <w:sz w:val="21"/>
                <w:szCs w:val="21"/>
                <w:lang w:val="en-US" w:eastAsia="zh-CN" w:bidi="ar"/>
              </w:rPr>
              <w:t>【规章】《人民防空工程建设管理规定》（国人防办字[2003]18号）第三十条：人民防空工程建设实行质量监督管理制度。《人民防空工程质量监督管理规定》（国人防[2010]288号）第一章第三条：人民防空工程质量监督是人民防空主管部门或者其委托的人防工程质量监督机构根据国家有关法律、法规和人防工程建设强制性标准，对人防工程责任主体履行质量责任的行为、工程实体质量和防护设备质量进行监督检查的行政执法行为。</w:t>
            </w:r>
          </w:p>
        </w:tc>
        <w:tc>
          <w:tcPr>
            <w:tcW w:w="8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9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2</w:t>
            </w:r>
          </w:p>
        </w:tc>
        <w:tc>
          <w:tcPr>
            <w:tcW w:w="14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行政检查</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lang w:val="en-US"/>
              </w:rPr>
            </w:pPr>
            <w:r>
              <w:rPr>
                <w:rFonts w:hint="default" w:ascii="Arial" w:hAnsi="Arial" w:eastAsia="宋体" w:cs="Arial"/>
                <w:kern w:val="0"/>
                <w:sz w:val="21"/>
                <w:szCs w:val="21"/>
                <w:lang w:val="en-US" w:eastAsia="zh-CN" w:bidi="ar"/>
              </w:rPr>
              <w:t>2700-I-00200-1410</w:t>
            </w:r>
            <w:r>
              <w:rPr>
                <w:rFonts w:hint="eastAsia" w:ascii="Arial" w:hAnsi="Arial" w:eastAsia="宋体" w:cs="Arial"/>
                <w:kern w:val="0"/>
                <w:sz w:val="21"/>
                <w:szCs w:val="21"/>
                <w:lang w:val="en-US" w:eastAsia="zh-CN" w:bidi="ar"/>
              </w:rPr>
              <w:t>29</w:t>
            </w:r>
          </w:p>
        </w:tc>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对人民防空教育指导检查</w:t>
            </w:r>
          </w:p>
        </w:tc>
        <w:tc>
          <w:tcPr>
            <w:tcW w:w="67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both"/>
              <w:rPr>
                <w:rFonts w:hint="default" w:ascii="Arial" w:hAnsi="Arial" w:cs="Arial"/>
                <w:sz w:val="21"/>
                <w:szCs w:val="21"/>
              </w:rPr>
            </w:pPr>
            <w:r>
              <w:rPr>
                <w:rFonts w:hint="default" w:ascii="Arial" w:hAnsi="Arial" w:eastAsia="宋体" w:cs="Arial"/>
                <w:kern w:val="0"/>
                <w:sz w:val="21"/>
                <w:szCs w:val="21"/>
                <w:lang w:val="en-US" w:eastAsia="zh-CN" w:bidi="ar"/>
              </w:rPr>
              <w:t>【法规】《山西省实施&lt;中华人民共和国人民防空法&gt;办法》 第三十六条  人民防空教育应纳入国防教育体系。人民防空行政主管部门对人民防空教育应加强指导和检查。</w:t>
            </w:r>
          </w:p>
        </w:tc>
        <w:tc>
          <w:tcPr>
            <w:tcW w:w="8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0" w:hRule="atLeast"/>
        </w:trPr>
        <w:tc>
          <w:tcPr>
            <w:tcW w:w="9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3</w:t>
            </w:r>
          </w:p>
        </w:tc>
        <w:tc>
          <w:tcPr>
            <w:tcW w:w="14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行政检查</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lang w:val="en-US"/>
              </w:rPr>
            </w:pPr>
            <w:r>
              <w:rPr>
                <w:rFonts w:hint="default" w:ascii="Arial" w:hAnsi="Arial" w:eastAsia="宋体" w:cs="Arial"/>
                <w:kern w:val="0"/>
                <w:sz w:val="21"/>
                <w:szCs w:val="21"/>
                <w:lang w:val="en-US" w:eastAsia="zh-CN" w:bidi="ar"/>
              </w:rPr>
              <w:t>2700-I-00300-1410</w:t>
            </w:r>
            <w:r>
              <w:rPr>
                <w:rFonts w:hint="eastAsia" w:ascii="Arial" w:hAnsi="Arial" w:eastAsia="宋体" w:cs="Arial"/>
                <w:kern w:val="0"/>
                <w:sz w:val="21"/>
                <w:szCs w:val="21"/>
                <w:lang w:val="en-US" w:eastAsia="zh-CN" w:bidi="ar"/>
              </w:rPr>
              <w:t>29</w:t>
            </w:r>
          </w:p>
        </w:tc>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人防工程维护管理及安全使用监督管理</w:t>
            </w:r>
          </w:p>
        </w:tc>
        <w:tc>
          <w:tcPr>
            <w:tcW w:w="67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both"/>
              <w:rPr>
                <w:rFonts w:hint="default" w:ascii="Arial" w:hAnsi="Arial" w:cs="Arial"/>
                <w:sz w:val="21"/>
                <w:szCs w:val="21"/>
              </w:rPr>
            </w:pPr>
            <w:r>
              <w:rPr>
                <w:rFonts w:hint="default" w:ascii="Arial" w:hAnsi="Arial" w:eastAsia="宋体" w:cs="Arial"/>
                <w:kern w:val="0"/>
                <w:sz w:val="21"/>
                <w:szCs w:val="21"/>
                <w:lang w:val="en-US" w:eastAsia="zh-CN" w:bidi="ar"/>
              </w:rPr>
              <w:t>【法律】《中华人民共和国人民防空法》第二十五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 【法规】《山西省实施（中华人民共和国人民防空法）办法》第十九条：人民防空行政主管部门对人民防空工程的维护管理进行监督检查时，被检查单位和个人应提供有关情况和资料。</w:t>
            </w:r>
          </w:p>
        </w:tc>
        <w:tc>
          <w:tcPr>
            <w:tcW w:w="8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9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4</w:t>
            </w:r>
          </w:p>
        </w:tc>
        <w:tc>
          <w:tcPr>
            <w:tcW w:w="14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行政检查</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lang w:val="en-US"/>
              </w:rPr>
            </w:pPr>
            <w:r>
              <w:rPr>
                <w:rFonts w:hint="default" w:ascii="Arial" w:hAnsi="Arial" w:eastAsia="宋体" w:cs="Arial"/>
                <w:kern w:val="0"/>
                <w:sz w:val="21"/>
                <w:szCs w:val="21"/>
                <w:lang w:val="en-US" w:eastAsia="zh-CN" w:bidi="ar"/>
              </w:rPr>
              <w:t>2700-I-00400-1410</w:t>
            </w:r>
            <w:r>
              <w:rPr>
                <w:rFonts w:hint="eastAsia" w:ascii="Arial" w:hAnsi="Arial" w:eastAsia="宋体" w:cs="Arial"/>
                <w:kern w:val="0"/>
                <w:sz w:val="21"/>
                <w:szCs w:val="21"/>
                <w:lang w:val="en-US" w:eastAsia="zh-CN" w:bidi="ar"/>
              </w:rPr>
              <w:t>29</w:t>
            </w:r>
          </w:p>
        </w:tc>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r>
              <w:rPr>
                <w:rFonts w:hint="default" w:ascii="Arial" w:hAnsi="Arial" w:eastAsia="宋体" w:cs="Arial"/>
                <w:kern w:val="0"/>
                <w:sz w:val="21"/>
                <w:szCs w:val="21"/>
                <w:lang w:val="en-US" w:eastAsia="zh-CN" w:bidi="ar"/>
              </w:rPr>
              <w:t>重要经济目标建设规划和监督检查</w:t>
            </w:r>
          </w:p>
        </w:tc>
        <w:tc>
          <w:tcPr>
            <w:tcW w:w="67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both"/>
              <w:rPr>
                <w:rFonts w:hint="default" w:ascii="Arial" w:hAnsi="Arial" w:cs="Arial"/>
                <w:sz w:val="21"/>
                <w:szCs w:val="21"/>
              </w:rPr>
            </w:pPr>
            <w:r>
              <w:rPr>
                <w:rFonts w:hint="default" w:ascii="Arial" w:hAnsi="Arial" w:eastAsia="宋体" w:cs="Arial"/>
                <w:kern w:val="0"/>
                <w:sz w:val="21"/>
                <w:szCs w:val="21"/>
                <w:lang w:val="en-US" w:eastAsia="zh-CN" w:bidi="ar"/>
              </w:rPr>
              <w:t>【法律】《中华人民共和国人民防空法》第十七条：人民防空主管部门应当依照规定对城市和经济目标的人民防空建设进行监督检查。被检查单位应当如实提供情况和必要的资料。</w:t>
            </w:r>
            <w:r>
              <w:rPr>
                <w:rFonts w:hint="default" w:ascii="Arial" w:hAnsi="Arial" w:eastAsia="宋体" w:cs="Arial"/>
                <w:kern w:val="0"/>
                <w:sz w:val="21"/>
                <w:szCs w:val="21"/>
                <w:lang w:val="en-US" w:eastAsia="zh-CN" w:bidi="ar"/>
              </w:rPr>
              <w:br w:type="textWrapping"/>
            </w:r>
            <w:r>
              <w:rPr>
                <w:rFonts w:hint="default" w:ascii="Arial" w:hAnsi="Arial" w:eastAsia="宋体" w:cs="Arial"/>
                <w:kern w:val="0"/>
                <w:sz w:val="21"/>
                <w:szCs w:val="21"/>
                <w:lang w:val="en-US" w:eastAsia="zh-CN" w:bidi="ar"/>
              </w:rPr>
              <w:t>【规章】《中共中央、国务院、中央军委关于加强人民防空工作的决定》（中发[2001]9号）第十三条：重要经济目标的规划和建设，要充分考虑人民防空的需求，并征求有关军事机关和人民防空主管部门的意见。对适合地下工作环境的重点项目或关键部位，应结合平时建设，有计划地转入地下；不易转入地下的要采取防护措施，提高抗毁能力。重要经济目标所在单位要制定防护方案和应急抢修方案，进行必要的训练和演练。人民防空主管部门要会同政府有关部门，加强对重要经济目标的防护指导和监督检查工作。</w:t>
            </w:r>
            <w:r>
              <w:rPr>
                <w:rFonts w:hint="default" w:ascii="Arial" w:hAnsi="Arial" w:eastAsia="宋体" w:cs="Arial"/>
                <w:kern w:val="0"/>
                <w:sz w:val="21"/>
                <w:szCs w:val="21"/>
                <w:lang w:val="en-US" w:eastAsia="zh-CN" w:bidi="ar"/>
              </w:rPr>
              <w:br w:type="textWrapping"/>
            </w:r>
            <w:r>
              <w:rPr>
                <w:rFonts w:hint="default" w:ascii="Arial" w:hAnsi="Arial" w:eastAsia="宋体" w:cs="Arial"/>
                <w:kern w:val="0"/>
                <w:sz w:val="21"/>
                <w:szCs w:val="21"/>
                <w:lang w:val="en-US" w:eastAsia="zh-CN" w:bidi="ar"/>
              </w:rPr>
              <w:t>【法规】 《山西省实施&lt;中华人民共和国人民防空法&gt;办法》 第十三条：新建、改建、扩建重要经济目标时，应将其防护设施列入基本建设计划，由人民防空行政主管部门对防护设施的建设进行监督检查。重要经济目标的使用和管理单位，应按防空袭方案制定战时防护措施和应急抢险抢修方案，并报当地人民防空行政主管部门备案。</w:t>
            </w:r>
          </w:p>
        </w:tc>
        <w:tc>
          <w:tcPr>
            <w:tcW w:w="8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center"/>
              <w:rPr>
                <w:rFonts w:hint="default" w:ascii="Arial" w:hAnsi="Arial" w:cs="Arial"/>
                <w:sz w:val="21"/>
                <w:szCs w:val="21"/>
              </w:rPr>
            </w:pPr>
          </w:p>
        </w:tc>
      </w:tr>
    </w:tbl>
    <w:p>
      <w:pPr>
        <w:rPr>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B6997"/>
    <w:rsid w:val="40E30FF0"/>
    <w:rsid w:val="493C4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8191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2025-04-30T09:38:00Z</dcterms:created>
  <dc:creator>Administrator</dc:creator>
  <cp:lastModifiedBy>坏坏的好孩子</cp:lastModifiedBy>
  <cp:lastPrinted>2025-04-30T09:45:00Z</cp:lastPrinted>
  <dcterms:modified xsi:type="dcterms:W3CDTF">2025-06-26T01:13:58Z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