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pPr>
        <w:jc w:val="left"/>
        <w:rPr>
          <w:rFonts w:hint="default" w:ascii="方正楷体_GBK" w:hAnsi="方正楷体_GBK" w:eastAsia="方正楷体_GBK" w:cs="方正楷体_GBK"/>
          <w:sz w:val="32"/>
          <w:szCs w:val="32"/>
          <w:lang w:val="en-US" w:eastAsia="zh-CN"/>
        </w:rPr>
      </w:pPr>
      <w:bookmarkStart w:id="0" w:name="OLE_LINK4"/>
      <w:r>
        <w:rPr>
          <w:rFonts w:hint="eastAsia" w:ascii="方正楷体_GBK" w:hAnsi="方正楷体_GBK" w:eastAsia="方正楷体_GBK" w:cs="方正楷体_GBK"/>
          <w:sz w:val="32"/>
          <w:szCs w:val="32"/>
          <w:lang w:val="en-US" w:eastAsia="zh-CN"/>
        </w:rPr>
        <w:t>填报单位（盖章）：乡宁县新闻出版局            联系人和联系方式：冯凯丽13028000418</w:t>
      </w:r>
    </w:p>
    <w:bookmarkEnd w:id="0"/>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1075"/>
        <w:gridCol w:w="945"/>
        <w:gridCol w:w="6915"/>
        <w:gridCol w:w="975"/>
        <w:gridCol w:w="1040"/>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1"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序号</w:t>
            </w:r>
          </w:p>
        </w:tc>
        <w:tc>
          <w:tcPr>
            <w:tcW w:w="1075"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事项名称</w:t>
            </w:r>
          </w:p>
        </w:tc>
        <w:tc>
          <w:tcPr>
            <w:tcW w:w="945"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事项类型</w:t>
            </w:r>
          </w:p>
        </w:tc>
        <w:tc>
          <w:tcPr>
            <w:tcW w:w="6915"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事项依据</w:t>
            </w:r>
          </w:p>
        </w:tc>
        <w:tc>
          <w:tcPr>
            <w:tcW w:w="975"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责任主体</w:t>
            </w:r>
          </w:p>
        </w:tc>
        <w:tc>
          <w:tcPr>
            <w:tcW w:w="1040"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实施主体</w:t>
            </w:r>
          </w:p>
        </w:tc>
        <w:tc>
          <w:tcPr>
            <w:tcW w:w="1121"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autoSpaceDN w:val="0"/>
              <w:jc w:val="center"/>
              <w:textAlignment w:val="center"/>
              <w:rPr>
                <w:rFonts w:hint="eastAsia" w:ascii="仿宋_GB2312" w:hAnsi="仿宋_GB2312" w:eastAsia="仿宋_GB2312" w:cs="仿宋_GB2312"/>
                <w:color w:val="000000"/>
                <w:sz w:val="22"/>
                <w:szCs w:val="32"/>
                <w:lang w:val="en-US" w:eastAsia="zh-CN"/>
              </w:rPr>
            </w:pPr>
            <w:r>
              <w:rPr>
                <w:rFonts w:hint="eastAsia" w:ascii="仿宋_GB2312" w:hAnsi="仿宋_GB2312" w:eastAsia="仿宋_GB2312" w:cs="仿宋_GB2312"/>
                <w:color w:val="000000"/>
                <w:sz w:val="22"/>
                <w:szCs w:val="32"/>
                <w:lang w:val="en-US" w:eastAsia="zh-CN"/>
              </w:rPr>
              <w:t>1</w:t>
            </w:r>
          </w:p>
        </w:tc>
        <w:tc>
          <w:tcPr>
            <w:tcW w:w="1075" w:type="dxa"/>
            <w:vAlign w:val="center"/>
          </w:tcPr>
          <w:p>
            <w:pPr>
              <w:autoSpaceDN w:val="0"/>
              <w:jc w:val="center"/>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kern w:val="2"/>
                <w:sz w:val="22"/>
                <w:szCs w:val="32"/>
                <w:lang w:val="en-US" w:eastAsia="zh-CN" w:bidi="ar-SA"/>
              </w:rPr>
              <w:t>对出版物零售业务的</w:t>
            </w:r>
          </w:p>
          <w:p>
            <w:pPr>
              <w:autoSpaceDN w:val="0"/>
              <w:jc w:val="center"/>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kern w:val="2"/>
                <w:sz w:val="22"/>
                <w:szCs w:val="32"/>
                <w:lang w:val="en-US" w:eastAsia="zh-CN" w:bidi="ar-SA"/>
              </w:rPr>
              <w:t>行政许可</w:t>
            </w:r>
          </w:p>
        </w:tc>
        <w:tc>
          <w:tcPr>
            <w:tcW w:w="945" w:type="dxa"/>
            <w:vAlign w:val="center"/>
          </w:tcPr>
          <w:p>
            <w:pPr>
              <w:autoSpaceDN w:val="0"/>
              <w:jc w:val="center"/>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kern w:val="2"/>
                <w:sz w:val="22"/>
                <w:szCs w:val="32"/>
                <w:lang w:val="en-US" w:eastAsia="zh-CN" w:bidi="ar-SA"/>
              </w:rPr>
              <w:t>行政许可</w:t>
            </w:r>
          </w:p>
        </w:tc>
        <w:tc>
          <w:tcPr>
            <w:tcW w:w="6915" w:type="dxa"/>
            <w:vAlign w:val="center"/>
          </w:tcPr>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《出版管理条例》第三十五条　单位和个体工商户从事出版物零售业务的，须经县级人民政府出版行政主管部门审核许可，取得《出版物经营许可证》。</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《出版物市场管理规定》第十一条　申请设立出版物零售企业或者其他单位、个人申请从事出版物零售业务,须向所在地县级人民政府新闻出版行政部门提交申请材料。</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 xml:space="preserve"> 县级新闻出版行政部门应当自受理申请之日起20个工作日内作出批准或者不予批准的决定,并书面告知申请人。批准的,由县级人民政府新闻出版行政部门颁发《出版物经营许可证》,并同时报上一级新闻出版行政部门备案,其中营业面积在5000平方米以上的应同时报省、自治区、直辖市新闻出版行政部门备案。申请人持《出版物经营许可证》到工商行政管理部门依法办理相关手续。不予批准的,应当书面说明理由。</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申请材料包括下列书面材料:</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(一)申请书,载明单位基本情况及申请事项;</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sz w:val="22"/>
                <w:szCs w:val="32"/>
                <w:lang w:eastAsia="zh-CN"/>
              </w:rPr>
            </w:pPr>
            <w:r>
              <w:rPr>
                <w:rFonts w:hint="eastAsia" w:ascii="仿宋_GB2312" w:hAnsi="仿宋_GB2312" w:eastAsia="仿宋_GB2312" w:cs="仿宋_GB2312"/>
                <w:color w:val="000000"/>
                <w:sz w:val="22"/>
                <w:szCs w:val="32"/>
                <w:lang w:eastAsia="zh-CN"/>
              </w:rPr>
              <w:t>(二)经营场所的使用权证明;</w:t>
            </w:r>
          </w:p>
          <w:p>
            <w:pPr>
              <w:keepNext w:val="0"/>
              <w:keepLines w:val="0"/>
              <w:pageBreakBefore w:val="0"/>
              <w:widowControl w:val="0"/>
              <w:kinsoku/>
              <w:wordWrap/>
              <w:overflowPunct/>
              <w:topLinePunct w:val="0"/>
              <w:autoSpaceDE/>
              <w:autoSpaceDN w:val="0"/>
              <w:bidi w:val="0"/>
              <w:adjustRightInd/>
              <w:snapToGrid/>
              <w:spacing w:line="380" w:lineRule="exact"/>
              <w:jc w:val="left"/>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sz w:val="22"/>
                <w:szCs w:val="32"/>
                <w:lang w:eastAsia="zh-CN"/>
              </w:rPr>
              <w:t>(三)经营者的身份证明和发行员职业资格证书或其他专业技术资格证明材料。</w:t>
            </w:r>
          </w:p>
        </w:tc>
        <w:tc>
          <w:tcPr>
            <w:tcW w:w="975" w:type="dxa"/>
            <w:vAlign w:val="center"/>
          </w:tcPr>
          <w:p>
            <w:pPr>
              <w:autoSpaceDN w:val="0"/>
              <w:jc w:val="center"/>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sz w:val="22"/>
                <w:szCs w:val="32"/>
                <w:lang w:val="en-US" w:eastAsia="zh-CN"/>
              </w:rPr>
              <w:t>乡宁县新闻出版局</w:t>
            </w:r>
          </w:p>
        </w:tc>
        <w:tc>
          <w:tcPr>
            <w:tcW w:w="1040" w:type="dxa"/>
            <w:vAlign w:val="center"/>
          </w:tcPr>
          <w:p>
            <w:pPr>
              <w:autoSpaceDN w:val="0"/>
              <w:jc w:val="center"/>
              <w:textAlignment w:val="center"/>
              <w:rPr>
                <w:rFonts w:hint="eastAsia" w:ascii="仿宋_GB2312" w:hAnsi="仿宋_GB2312" w:eastAsia="仿宋_GB2312" w:cs="仿宋_GB2312"/>
                <w:color w:val="000000"/>
                <w:kern w:val="2"/>
                <w:sz w:val="22"/>
                <w:szCs w:val="32"/>
                <w:lang w:val="en-US" w:eastAsia="zh-CN" w:bidi="ar-SA"/>
              </w:rPr>
            </w:pPr>
            <w:r>
              <w:rPr>
                <w:rFonts w:hint="eastAsia" w:ascii="仿宋_GB2312" w:hAnsi="仿宋_GB2312" w:eastAsia="仿宋_GB2312" w:cs="仿宋_GB2312"/>
                <w:color w:val="000000"/>
                <w:sz w:val="22"/>
                <w:szCs w:val="32"/>
                <w:lang w:val="en-US" w:eastAsia="zh-CN"/>
              </w:rPr>
              <w:t>乡宁县新闻出版局</w:t>
            </w:r>
          </w:p>
        </w:tc>
        <w:tc>
          <w:tcPr>
            <w:tcW w:w="1121" w:type="dxa"/>
            <w:vAlign w:val="center"/>
          </w:tcPr>
          <w:p>
            <w:pPr>
              <w:jc w:val="center"/>
              <w:rPr>
                <w:rFonts w:hint="eastAsia" w:ascii="仿宋_GB2312" w:hAnsi="仿宋_GB2312" w:eastAsia="仿宋_GB2312" w:cs="仿宋_GB2312"/>
                <w:b w:val="0"/>
                <w:bCs w:val="0"/>
                <w:sz w:val="40"/>
                <w:szCs w:val="4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imes New Roman" w:hAnsi="Times New Roman" w:eastAsia="仿宋" w:cs="仿宋"/>
                <w:sz w:val="32"/>
                <w:szCs w:val="32"/>
                <w:vertAlign w:val="baseline"/>
                <w:lang w:val="en-US" w:eastAsia="zh-CN"/>
              </w:rPr>
            </w:pPr>
          </w:p>
        </w:tc>
        <w:tc>
          <w:tcPr>
            <w:tcW w:w="1075" w:type="dxa"/>
            <w:vAlign w:val="center"/>
          </w:tcPr>
          <w:p>
            <w:pPr>
              <w:jc w:val="center"/>
              <w:rPr>
                <w:rFonts w:hint="eastAsia" w:ascii="Times New Roman" w:hAnsi="Times New Roman" w:eastAsia="仿宋" w:cs="仿宋"/>
                <w:sz w:val="32"/>
                <w:szCs w:val="32"/>
                <w:vertAlign w:val="baseline"/>
                <w:lang w:val="en-US" w:eastAsia="zh-CN"/>
              </w:rPr>
            </w:pPr>
          </w:p>
        </w:tc>
        <w:tc>
          <w:tcPr>
            <w:tcW w:w="945" w:type="dxa"/>
            <w:vAlign w:val="center"/>
          </w:tcPr>
          <w:p>
            <w:pPr>
              <w:jc w:val="center"/>
              <w:rPr>
                <w:rFonts w:hint="eastAsia" w:ascii="Times New Roman" w:hAnsi="Times New Roman" w:eastAsia="仿宋" w:cs="仿宋"/>
                <w:sz w:val="32"/>
                <w:szCs w:val="32"/>
                <w:vertAlign w:val="baseline"/>
                <w:lang w:val="en-US" w:eastAsia="zh-CN"/>
              </w:rPr>
            </w:pPr>
          </w:p>
        </w:tc>
        <w:tc>
          <w:tcPr>
            <w:tcW w:w="6915" w:type="dxa"/>
            <w:vAlign w:val="center"/>
          </w:tcPr>
          <w:p>
            <w:pPr>
              <w:jc w:val="center"/>
              <w:rPr>
                <w:rFonts w:hint="eastAsia" w:ascii="Times New Roman" w:hAnsi="Times New Roman" w:eastAsia="仿宋" w:cs="仿宋"/>
                <w:sz w:val="32"/>
                <w:szCs w:val="32"/>
                <w:vertAlign w:val="baseline"/>
                <w:lang w:val="en-US" w:eastAsia="zh-CN"/>
              </w:rPr>
            </w:pPr>
          </w:p>
        </w:tc>
        <w:tc>
          <w:tcPr>
            <w:tcW w:w="975" w:type="dxa"/>
            <w:vAlign w:val="center"/>
          </w:tcPr>
          <w:p>
            <w:pPr>
              <w:jc w:val="center"/>
              <w:rPr>
                <w:rFonts w:hint="eastAsia" w:ascii="Times New Roman" w:hAnsi="Times New Roman" w:eastAsia="仿宋" w:cs="仿宋"/>
                <w:sz w:val="32"/>
                <w:szCs w:val="32"/>
                <w:vertAlign w:val="baseline"/>
                <w:lang w:val="en-US" w:eastAsia="zh-CN"/>
              </w:rPr>
            </w:pPr>
          </w:p>
        </w:tc>
        <w:tc>
          <w:tcPr>
            <w:tcW w:w="1040" w:type="dxa"/>
            <w:vAlign w:val="center"/>
          </w:tcPr>
          <w:p>
            <w:pPr>
              <w:jc w:val="center"/>
              <w:rPr>
                <w:rFonts w:hint="eastAsia" w:ascii="Times New Roman" w:hAnsi="Times New Roman" w:eastAsia="仿宋" w:cs="仿宋"/>
                <w:sz w:val="32"/>
                <w:szCs w:val="32"/>
                <w:vertAlign w:val="baseline"/>
                <w:lang w:val="en-US" w:eastAsia="zh-CN"/>
              </w:rPr>
            </w:pPr>
          </w:p>
        </w:tc>
        <w:tc>
          <w:tcPr>
            <w:tcW w:w="1121" w:type="dxa"/>
            <w:vAlign w:val="center"/>
          </w:tcPr>
          <w:p>
            <w:pPr>
              <w:jc w:val="center"/>
              <w:rPr>
                <w:rFonts w:hint="eastAsia" w:ascii="Times New Roman" w:hAnsi="Times New Roman" w:eastAsia="仿宋" w:cs="仿宋"/>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imes New Roman" w:hAnsi="Times New Roman" w:eastAsia="仿宋" w:cs="仿宋"/>
                <w:sz w:val="32"/>
                <w:szCs w:val="32"/>
                <w:vertAlign w:val="baseline"/>
                <w:lang w:val="en-US" w:eastAsia="zh-CN"/>
              </w:rPr>
            </w:pPr>
          </w:p>
        </w:tc>
        <w:tc>
          <w:tcPr>
            <w:tcW w:w="1075" w:type="dxa"/>
            <w:vAlign w:val="center"/>
          </w:tcPr>
          <w:p>
            <w:pPr>
              <w:jc w:val="center"/>
              <w:rPr>
                <w:rFonts w:hint="eastAsia" w:ascii="Times New Roman" w:hAnsi="Times New Roman" w:eastAsia="仿宋" w:cs="仿宋"/>
                <w:sz w:val="32"/>
                <w:szCs w:val="32"/>
                <w:vertAlign w:val="baseline"/>
                <w:lang w:val="en-US" w:eastAsia="zh-CN"/>
              </w:rPr>
            </w:pPr>
          </w:p>
        </w:tc>
        <w:tc>
          <w:tcPr>
            <w:tcW w:w="945" w:type="dxa"/>
            <w:vAlign w:val="center"/>
          </w:tcPr>
          <w:p>
            <w:pPr>
              <w:jc w:val="center"/>
              <w:rPr>
                <w:rFonts w:hint="eastAsia" w:ascii="Times New Roman" w:hAnsi="Times New Roman" w:eastAsia="仿宋" w:cs="仿宋"/>
                <w:sz w:val="32"/>
                <w:szCs w:val="32"/>
                <w:vertAlign w:val="baseline"/>
                <w:lang w:val="en-US" w:eastAsia="zh-CN"/>
              </w:rPr>
            </w:pPr>
          </w:p>
        </w:tc>
        <w:tc>
          <w:tcPr>
            <w:tcW w:w="6915" w:type="dxa"/>
            <w:vAlign w:val="center"/>
          </w:tcPr>
          <w:p>
            <w:pPr>
              <w:jc w:val="center"/>
              <w:rPr>
                <w:rFonts w:hint="eastAsia" w:ascii="Times New Roman" w:hAnsi="Times New Roman" w:eastAsia="仿宋" w:cs="仿宋"/>
                <w:sz w:val="32"/>
                <w:szCs w:val="32"/>
                <w:vertAlign w:val="baseline"/>
                <w:lang w:val="en-US" w:eastAsia="zh-CN"/>
              </w:rPr>
            </w:pPr>
          </w:p>
        </w:tc>
        <w:tc>
          <w:tcPr>
            <w:tcW w:w="975" w:type="dxa"/>
            <w:vAlign w:val="center"/>
          </w:tcPr>
          <w:p>
            <w:pPr>
              <w:jc w:val="center"/>
              <w:rPr>
                <w:rFonts w:hint="eastAsia" w:ascii="Times New Roman" w:hAnsi="Times New Roman" w:eastAsia="仿宋" w:cs="仿宋"/>
                <w:sz w:val="32"/>
                <w:szCs w:val="32"/>
                <w:vertAlign w:val="baseline"/>
                <w:lang w:val="en-US" w:eastAsia="zh-CN"/>
              </w:rPr>
            </w:pPr>
          </w:p>
        </w:tc>
        <w:tc>
          <w:tcPr>
            <w:tcW w:w="1040" w:type="dxa"/>
            <w:vAlign w:val="center"/>
          </w:tcPr>
          <w:p>
            <w:pPr>
              <w:jc w:val="center"/>
              <w:rPr>
                <w:rFonts w:hint="eastAsia" w:ascii="Times New Roman" w:hAnsi="Times New Roman" w:eastAsia="仿宋" w:cs="仿宋"/>
                <w:sz w:val="32"/>
                <w:szCs w:val="32"/>
                <w:vertAlign w:val="baseline"/>
                <w:lang w:val="en-US" w:eastAsia="zh-CN"/>
              </w:rPr>
            </w:pPr>
          </w:p>
        </w:tc>
        <w:tc>
          <w:tcPr>
            <w:tcW w:w="1121" w:type="dxa"/>
            <w:vAlign w:val="center"/>
          </w:tcPr>
          <w:p>
            <w:pPr>
              <w:jc w:val="center"/>
              <w:rPr>
                <w:rFonts w:hint="eastAsia" w:ascii="Times New Roman" w:hAnsi="Times New Roman" w:eastAsia="仿宋" w:cs="仿宋"/>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注：1.事项名称填写的格式为“对XX的行政处罚（强制....）”;</w:t>
      </w:r>
    </w:p>
    <w:p>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2.事项类型：行政处罚、行政许可、行政强制、行政征收征用、行政检查、行政给付、行政确认、行政奖励、行政裁决及其他行政执法事项等;</w:t>
      </w: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Times New Roman" w:hAnsi="Times New Roman" w:eastAsia="方正楷体_GBK" w:cs="方正楷体_GBK"/>
          <w:sz w:val="32"/>
          <w:szCs w:val="32"/>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3.责任主体和实施主体均要填写单位规范全称，如“乡宁县文化和旅游局”</w:t>
      </w:r>
      <w:bookmarkStart w:id="1" w:name="_GoBack"/>
      <w:bookmarkEnd w:id="1"/>
    </w:p>
    <w:p>
      <w:pPr>
        <w:bidi w:val="0"/>
        <w:ind w:firstLine="0" w:firstLineChars="0"/>
        <w:jc w:val="left"/>
        <w:rPr>
          <w:rFonts w:hint="default"/>
          <w:lang w:val="en-US" w:eastAsia="zh-CN"/>
        </w:rPr>
      </w:pPr>
    </w:p>
    <w:sectPr>
      <w:footerReference r:id="rId4" w:type="default"/>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hNWJhZjkyMzIxYTAxZWZlYzc4MjU2ZjA2YjVkMDAifQ=="/>
  </w:docVars>
  <w:rsids>
    <w:rsidRoot w:val="2C213C5F"/>
    <w:rsid w:val="00E326BD"/>
    <w:rsid w:val="01925258"/>
    <w:rsid w:val="05635D80"/>
    <w:rsid w:val="075F3368"/>
    <w:rsid w:val="098378B4"/>
    <w:rsid w:val="0C64230F"/>
    <w:rsid w:val="0EF11501"/>
    <w:rsid w:val="11667557"/>
    <w:rsid w:val="135E01B4"/>
    <w:rsid w:val="138603C8"/>
    <w:rsid w:val="13EDE6DF"/>
    <w:rsid w:val="151870BF"/>
    <w:rsid w:val="1754066E"/>
    <w:rsid w:val="176A6FB7"/>
    <w:rsid w:val="18EE04B0"/>
    <w:rsid w:val="198D6BF7"/>
    <w:rsid w:val="19956BF7"/>
    <w:rsid w:val="1DDBC176"/>
    <w:rsid w:val="1ED56D27"/>
    <w:rsid w:val="1FB95733"/>
    <w:rsid w:val="1FE37477"/>
    <w:rsid w:val="227468FE"/>
    <w:rsid w:val="22B65D9C"/>
    <w:rsid w:val="23686FBD"/>
    <w:rsid w:val="237FCC3B"/>
    <w:rsid w:val="24765B0F"/>
    <w:rsid w:val="278C56DA"/>
    <w:rsid w:val="27B6A456"/>
    <w:rsid w:val="290A1A8A"/>
    <w:rsid w:val="2967631B"/>
    <w:rsid w:val="296F5EBF"/>
    <w:rsid w:val="2C213C5F"/>
    <w:rsid w:val="2DF32E51"/>
    <w:rsid w:val="2F7576C2"/>
    <w:rsid w:val="2FEC8976"/>
    <w:rsid w:val="2FF7803F"/>
    <w:rsid w:val="315C572F"/>
    <w:rsid w:val="3237104B"/>
    <w:rsid w:val="33C807D0"/>
    <w:rsid w:val="33EEE26C"/>
    <w:rsid w:val="342966A0"/>
    <w:rsid w:val="3457653D"/>
    <w:rsid w:val="3634742D"/>
    <w:rsid w:val="36F9349B"/>
    <w:rsid w:val="37B4554F"/>
    <w:rsid w:val="386929FE"/>
    <w:rsid w:val="3B6E5730"/>
    <w:rsid w:val="3BFD29EA"/>
    <w:rsid w:val="3D0D67B1"/>
    <w:rsid w:val="3D1840ED"/>
    <w:rsid w:val="3DC5AF28"/>
    <w:rsid w:val="3E7E3B77"/>
    <w:rsid w:val="3ED5450E"/>
    <w:rsid w:val="3EEEF3A1"/>
    <w:rsid w:val="3FA56F55"/>
    <w:rsid w:val="3FD5DAA6"/>
    <w:rsid w:val="41E8105B"/>
    <w:rsid w:val="424F1CF4"/>
    <w:rsid w:val="444C7316"/>
    <w:rsid w:val="452B2A75"/>
    <w:rsid w:val="478E37E9"/>
    <w:rsid w:val="48A26996"/>
    <w:rsid w:val="4A537576"/>
    <w:rsid w:val="4B0233A9"/>
    <w:rsid w:val="4B145652"/>
    <w:rsid w:val="4B2D5CFC"/>
    <w:rsid w:val="4BC660EF"/>
    <w:rsid w:val="4E7E7199"/>
    <w:rsid w:val="4EDA6901"/>
    <w:rsid w:val="4EEFEFD5"/>
    <w:rsid w:val="4F5F2339"/>
    <w:rsid w:val="4FBF47DF"/>
    <w:rsid w:val="508756FD"/>
    <w:rsid w:val="51727F40"/>
    <w:rsid w:val="53A704A6"/>
    <w:rsid w:val="53FE5943"/>
    <w:rsid w:val="543F57C9"/>
    <w:rsid w:val="54D538D4"/>
    <w:rsid w:val="55DF6AEA"/>
    <w:rsid w:val="56263B9E"/>
    <w:rsid w:val="58621842"/>
    <w:rsid w:val="5A9F2FDB"/>
    <w:rsid w:val="5AEA10B3"/>
    <w:rsid w:val="5AEA57CB"/>
    <w:rsid w:val="5BFF3ADA"/>
    <w:rsid w:val="5BFF45ED"/>
    <w:rsid w:val="5D606819"/>
    <w:rsid w:val="5D8C4386"/>
    <w:rsid w:val="5DFF756C"/>
    <w:rsid w:val="5ED70C98"/>
    <w:rsid w:val="5EDE11DA"/>
    <w:rsid w:val="5F8D420B"/>
    <w:rsid w:val="5FFFC69D"/>
    <w:rsid w:val="613F2122"/>
    <w:rsid w:val="62032C71"/>
    <w:rsid w:val="628B3725"/>
    <w:rsid w:val="63872372"/>
    <w:rsid w:val="64FBBF2C"/>
    <w:rsid w:val="65FF5214"/>
    <w:rsid w:val="675B50D3"/>
    <w:rsid w:val="67BD6041"/>
    <w:rsid w:val="68031899"/>
    <w:rsid w:val="697C2B26"/>
    <w:rsid w:val="6C721B78"/>
    <w:rsid w:val="6E2103E4"/>
    <w:rsid w:val="6E726E91"/>
    <w:rsid w:val="6FB21085"/>
    <w:rsid w:val="6FC9E7AA"/>
    <w:rsid w:val="71E3443B"/>
    <w:rsid w:val="71E37BC4"/>
    <w:rsid w:val="722DE385"/>
    <w:rsid w:val="72F709DC"/>
    <w:rsid w:val="72FE15CE"/>
    <w:rsid w:val="734F185E"/>
    <w:rsid w:val="73571B28"/>
    <w:rsid w:val="73CFD759"/>
    <w:rsid w:val="73EE2314"/>
    <w:rsid w:val="742D5824"/>
    <w:rsid w:val="75ECB6EA"/>
    <w:rsid w:val="76BBD2FA"/>
    <w:rsid w:val="78FF4CEB"/>
    <w:rsid w:val="7AEC7057"/>
    <w:rsid w:val="7B7B8778"/>
    <w:rsid w:val="7BAFE19A"/>
    <w:rsid w:val="7BFF303C"/>
    <w:rsid w:val="7CC56A23"/>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1941</Words>
  <Characters>2123</Characters>
  <Lines>0</Lines>
  <Paragraphs>0</Paragraphs>
  <TotalTime>18</TotalTime>
  <ScaleCrop>false</ScaleCrop>
  <LinksUpToDate>false</LinksUpToDate>
  <CharactersWithSpaces>2219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me</cp:lastModifiedBy>
  <cp:lastPrinted>2024-12-16T08:37:00Z</cp:lastPrinted>
  <dcterms:modified xsi:type="dcterms:W3CDTF">2024-12-16T08:50:09Z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F95D39C8617849F7B513513D970EA1A6_11</vt:lpwstr>
  </property>
</Properties>
</file>