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B0" w:rsidRDefault="002266B0">
      <w:pPr>
        <w:adjustRightInd w:val="0"/>
        <w:spacing w:line="600" w:lineRule="exact"/>
        <w:jc w:val="center"/>
        <w:rPr>
          <w:rFonts w:ascii="华文中宋" w:eastAsia="华文中宋" w:hAnsi="华文中宋" w:cs="Times New Roman"/>
          <w:spacing w:val="-20"/>
          <w:kern w:val="0"/>
          <w:sz w:val="44"/>
          <w:szCs w:val="44"/>
        </w:rPr>
      </w:pPr>
    </w:p>
    <w:p w:rsidR="002266B0" w:rsidRDefault="000531ED">
      <w:pPr>
        <w:adjustRightIn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乡宁县</w:t>
      </w:r>
      <w:r>
        <w:rPr>
          <w:rFonts w:ascii="方正小标宋简体" w:eastAsia="方正小标宋简体" w:hAnsi="方正小标宋简体" w:cs="方正小标宋简体" w:hint="eastAsia"/>
          <w:kern w:val="0"/>
          <w:sz w:val="44"/>
          <w:szCs w:val="44"/>
        </w:rPr>
        <w:t>2020</w:t>
      </w:r>
      <w:r>
        <w:rPr>
          <w:rFonts w:ascii="方正小标宋简体" w:eastAsia="方正小标宋简体" w:hAnsi="方正小标宋简体" w:cs="方正小标宋简体" w:hint="eastAsia"/>
          <w:kern w:val="0"/>
          <w:sz w:val="44"/>
          <w:szCs w:val="44"/>
        </w:rPr>
        <w:t>年政府办公室信息公开</w:t>
      </w:r>
    </w:p>
    <w:p w:rsidR="002266B0" w:rsidRDefault="000531ED">
      <w:pPr>
        <w:adjustRightIn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工</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作</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报</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告</w:t>
      </w:r>
    </w:p>
    <w:p w:rsidR="002266B0" w:rsidRDefault="002266B0">
      <w:pPr>
        <w:shd w:val="clear" w:color="auto" w:fill="FFFFFF"/>
        <w:adjustRightInd w:val="0"/>
        <w:snapToGrid w:val="0"/>
        <w:spacing w:line="600" w:lineRule="exact"/>
        <w:ind w:firstLineChars="200" w:firstLine="640"/>
        <w:jc w:val="left"/>
        <w:rPr>
          <w:rFonts w:ascii="仿宋_GB2312" w:eastAsia="仿宋_GB2312" w:hAnsi="仿宋_GB2312" w:cs="仿宋_GB2312"/>
          <w:kern w:val="0"/>
          <w:sz w:val="32"/>
          <w:szCs w:val="32"/>
        </w:rPr>
      </w:pPr>
    </w:p>
    <w:p w:rsidR="002266B0" w:rsidRDefault="000531ED">
      <w:pPr>
        <w:shd w:val="clear" w:color="auto" w:fill="FFFFFF"/>
        <w:adjustRightInd w:val="0"/>
        <w:snapToGrid w:val="0"/>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我县人民政府办公室以习近平新时代中国特色社会主义思想为指导，认真贯彻落实修订后的《中华人民共和国政府信息公开条例》，根据《国务院办公厅政府信息与政务公开办公室关于政府信息公开工作年度报告有关事项的通知》要求，现将</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年度信息公开完成情况作如下报告：</w:t>
      </w:r>
    </w:p>
    <w:p w:rsidR="002266B0" w:rsidRDefault="000531ED">
      <w:pPr>
        <w:shd w:val="clear" w:color="auto" w:fill="FFFFFF"/>
        <w:adjustRightInd w:val="0"/>
        <w:snapToGrid w:val="0"/>
        <w:spacing w:line="62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一、</w:t>
      </w:r>
      <w:r>
        <w:rPr>
          <w:rFonts w:ascii="黑体" w:eastAsia="黑体" w:hAnsi="黑体" w:cs="黑体" w:hint="eastAsia"/>
          <w:kern w:val="0"/>
          <w:sz w:val="32"/>
          <w:szCs w:val="32"/>
        </w:rPr>
        <w:t>总体情况</w:t>
      </w:r>
    </w:p>
    <w:p w:rsidR="002266B0" w:rsidRDefault="000531ED">
      <w:pPr>
        <w:shd w:val="clear" w:color="auto" w:fill="FFFFFF"/>
        <w:adjustRightInd w:val="0"/>
        <w:snapToGrid w:val="0"/>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今年</w:t>
      </w:r>
      <w:r>
        <w:rPr>
          <w:rFonts w:ascii="仿宋_GB2312" w:eastAsia="仿宋_GB2312" w:hAnsi="仿宋_GB2312" w:cs="仿宋_GB2312" w:hint="eastAsia"/>
          <w:kern w:val="0"/>
          <w:sz w:val="32"/>
          <w:szCs w:val="32"/>
        </w:rPr>
        <w:t>以</w:t>
      </w:r>
      <w:r>
        <w:rPr>
          <w:rFonts w:ascii="仿宋_GB2312" w:eastAsia="仿宋_GB2312" w:hAnsi="仿宋_GB2312" w:cs="仿宋_GB2312" w:hint="eastAsia"/>
          <w:kern w:val="0"/>
          <w:sz w:val="32"/>
          <w:szCs w:val="32"/>
        </w:rPr>
        <w:t>来，我县坚持以公开为常态、不公开为例外的原则，指导、协调、监督各相关单位推进政务公开工作落到实处，积极履行政府信息公开职能。</w:t>
      </w:r>
    </w:p>
    <w:p w:rsidR="002266B0" w:rsidRDefault="000531ED" w:rsidP="00A84DD5">
      <w:pPr>
        <w:shd w:val="clear" w:color="auto" w:fill="FFFFFF"/>
        <w:adjustRightInd w:val="0"/>
        <w:snapToGrid w:val="0"/>
        <w:spacing w:line="620" w:lineRule="exact"/>
        <w:ind w:firstLineChars="200" w:firstLine="640"/>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（一）主动公开方面</w:t>
      </w:r>
    </w:p>
    <w:p w:rsidR="002266B0" w:rsidRDefault="000531ED">
      <w:pPr>
        <w:shd w:val="clear" w:color="auto" w:fill="FFFFFF"/>
        <w:adjustRightInd w:val="0"/>
        <w:snapToGrid w:val="0"/>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我县人民政府办公室严格按照《中华人民共和国政府信息公开条例》要求，加大政府信息主动公开力度，通过县政府门户网站、政务新媒体等方式主动公开信息。</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年，县政府门户网站公开信息</w:t>
      </w:r>
      <w:r>
        <w:rPr>
          <w:rFonts w:ascii="仿宋_GB2312" w:eastAsia="仿宋_GB2312" w:hAnsi="仿宋_GB2312" w:cs="仿宋_GB2312" w:hint="eastAsia"/>
          <w:kern w:val="0"/>
          <w:sz w:val="32"/>
          <w:szCs w:val="32"/>
        </w:rPr>
        <w:t>276</w:t>
      </w:r>
      <w:r>
        <w:rPr>
          <w:rFonts w:ascii="仿宋_GB2312" w:eastAsia="仿宋_GB2312" w:hAnsi="仿宋_GB2312" w:cs="仿宋_GB2312" w:hint="eastAsia"/>
          <w:kern w:val="0"/>
          <w:sz w:val="32"/>
          <w:szCs w:val="32"/>
        </w:rPr>
        <w:t>条，发布政策解读</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篇</w:t>
      </w:r>
      <w:r>
        <w:rPr>
          <w:rFonts w:ascii="仿宋_GB2312" w:eastAsia="仿宋_GB2312" w:hAnsi="仿宋_GB2312" w:cs="仿宋_GB2312" w:hint="eastAsia"/>
          <w:kern w:val="0"/>
          <w:sz w:val="32"/>
          <w:szCs w:val="32"/>
        </w:rPr>
        <w:t>。</w:t>
      </w:r>
    </w:p>
    <w:p w:rsidR="002266B0" w:rsidRDefault="000531ED" w:rsidP="00A84DD5">
      <w:pPr>
        <w:shd w:val="clear" w:color="auto" w:fill="FFFFFF"/>
        <w:adjustRightInd w:val="0"/>
        <w:snapToGrid w:val="0"/>
        <w:spacing w:line="620" w:lineRule="exact"/>
        <w:ind w:firstLineChars="200" w:firstLine="640"/>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（二）依申请公开方面</w:t>
      </w:r>
    </w:p>
    <w:p w:rsidR="002266B0" w:rsidRDefault="000531ED">
      <w:pPr>
        <w:shd w:val="clear" w:color="auto" w:fill="FFFFFF"/>
        <w:adjustRightInd w:val="0"/>
        <w:snapToGrid w:val="0"/>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依法依规做好政府信息依申请公开工作，全年共收到和办理依申请公开</w:t>
      </w:r>
      <w:bookmarkStart w:id="0" w:name="_GoBack"/>
      <w:bookmarkEnd w:id="0"/>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份，办结</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份。</w:t>
      </w:r>
    </w:p>
    <w:p w:rsidR="002266B0" w:rsidRDefault="000531ED" w:rsidP="00A84DD5">
      <w:pPr>
        <w:shd w:val="clear" w:color="auto" w:fill="FFFFFF"/>
        <w:adjustRightInd w:val="0"/>
        <w:snapToGrid w:val="0"/>
        <w:spacing w:line="620" w:lineRule="exact"/>
        <w:ind w:firstLineChars="200" w:firstLine="640"/>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lastRenderedPageBreak/>
        <w:t>（三）解读回应方面</w:t>
      </w:r>
    </w:p>
    <w:p w:rsidR="002266B0" w:rsidRDefault="000531ED">
      <w:pPr>
        <w:shd w:val="clear" w:color="auto" w:fill="FFFFFF"/>
        <w:adjustRightInd w:val="0"/>
        <w:snapToGrid w:val="0"/>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为进一步加强对全县政府系统政策解读工作的统筹指导，县政府办公室采取系列措施加快工作推进力度。出台了《乡宁县人民政府办公室关于进一步规范文件属性和政策解读审核工作的通知》，明确政策解读的</w:t>
      </w:r>
      <w:r>
        <w:rPr>
          <w:rFonts w:ascii="仿宋_GB2312" w:eastAsia="仿宋_GB2312" w:hAnsi="仿宋_GB2312" w:cs="仿宋_GB2312" w:hint="eastAsia"/>
          <w:kern w:val="0"/>
          <w:sz w:val="32"/>
          <w:szCs w:val="32"/>
        </w:rPr>
        <w:t>各项任务，并要求各单位按照“谁起草、谁解读”的原则，在政策公布时同步开展解读工作，做到政策性文件、解读方案及解读材料同步组织、同步审签、同步部署。</w:t>
      </w:r>
    </w:p>
    <w:p w:rsidR="002266B0" w:rsidRDefault="000531ED" w:rsidP="00A84DD5">
      <w:pPr>
        <w:shd w:val="clear" w:color="auto" w:fill="FFFFFF"/>
        <w:adjustRightInd w:val="0"/>
        <w:snapToGrid w:val="0"/>
        <w:spacing w:line="620" w:lineRule="exact"/>
        <w:ind w:firstLineChars="200" w:firstLine="640"/>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w:t>
      </w:r>
      <w:r>
        <w:rPr>
          <w:rFonts w:ascii="楷体_GB2312" w:eastAsia="楷体_GB2312" w:hAnsi="楷体_GB2312" w:cs="楷体_GB2312" w:hint="eastAsia"/>
          <w:b/>
          <w:bCs/>
          <w:kern w:val="0"/>
          <w:sz w:val="32"/>
          <w:szCs w:val="32"/>
        </w:rPr>
        <w:t>四</w:t>
      </w:r>
      <w:r>
        <w:rPr>
          <w:rFonts w:ascii="楷体_GB2312" w:eastAsia="楷体_GB2312" w:hAnsi="楷体_GB2312" w:cs="楷体_GB2312" w:hint="eastAsia"/>
          <w:b/>
          <w:bCs/>
          <w:kern w:val="0"/>
          <w:sz w:val="32"/>
          <w:szCs w:val="32"/>
        </w:rPr>
        <w:t>）平台建设方面</w:t>
      </w:r>
    </w:p>
    <w:p w:rsidR="002266B0" w:rsidRDefault="000531ED">
      <w:pPr>
        <w:shd w:val="clear" w:color="auto" w:fill="FFFFFF"/>
        <w:adjustRightInd w:val="0"/>
        <w:snapToGrid w:val="0"/>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政府网版面、政务公开、政务服务、互动交流等方面进行调整，调整网站首页的页面布局，整体配色和布局比例，优化视觉效果。文章页面新增加转发、点赞、收藏功能，加强互动参与积极性，方便获取最新资讯。</w:t>
      </w:r>
    </w:p>
    <w:p w:rsidR="002266B0" w:rsidRDefault="000531ED" w:rsidP="00A84DD5">
      <w:pPr>
        <w:shd w:val="clear" w:color="auto" w:fill="FFFFFF"/>
        <w:adjustRightInd w:val="0"/>
        <w:snapToGrid w:val="0"/>
        <w:spacing w:line="620" w:lineRule="exact"/>
        <w:ind w:firstLineChars="200" w:firstLine="640"/>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w:t>
      </w:r>
      <w:r>
        <w:rPr>
          <w:rFonts w:ascii="楷体_GB2312" w:eastAsia="楷体_GB2312" w:hAnsi="楷体_GB2312" w:cs="楷体_GB2312" w:hint="eastAsia"/>
          <w:b/>
          <w:bCs/>
          <w:kern w:val="0"/>
          <w:sz w:val="32"/>
          <w:szCs w:val="32"/>
        </w:rPr>
        <w:t>五</w:t>
      </w:r>
      <w:r>
        <w:rPr>
          <w:rFonts w:ascii="楷体_GB2312" w:eastAsia="楷体_GB2312" w:hAnsi="楷体_GB2312" w:cs="楷体_GB2312" w:hint="eastAsia"/>
          <w:b/>
          <w:bCs/>
          <w:kern w:val="0"/>
          <w:sz w:val="32"/>
          <w:szCs w:val="32"/>
        </w:rPr>
        <w:t>）监督保障方面</w:t>
      </w:r>
    </w:p>
    <w:p w:rsidR="002266B0" w:rsidRDefault="000531ED">
      <w:pPr>
        <w:shd w:val="clear" w:color="auto" w:fill="FFFFFF"/>
        <w:adjustRightInd w:val="0"/>
        <w:snapToGrid w:val="0"/>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加强对政府信息公开工作的日常指导和监督检查，确保政务公开工作取得实效。一是继续将政务公开工作纳入考核，将政策解读、基层政务公开标准化</w:t>
      </w:r>
      <w:r>
        <w:rPr>
          <w:rFonts w:ascii="仿宋_GB2312" w:eastAsia="仿宋_GB2312" w:hAnsi="仿宋_GB2312" w:cs="仿宋_GB2312" w:hint="eastAsia"/>
          <w:kern w:val="0"/>
          <w:sz w:val="32"/>
          <w:szCs w:val="32"/>
        </w:rPr>
        <w:t>规范化、网民留言办理、政府信息依申请公开、政府网站和政务新媒体等内容纳入考核范畴，发挥绩效考核导向作用。二是加强对办公室网站和政务新媒体的统筹协调。</w:t>
      </w:r>
    </w:p>
    <w:p w:rsidR="002266B0" w:rsidRDefault="002266B0">
      <w:pPr>
        <w:shd w:val="clear" w:color="auto" w:fill="FFFFFF"/>
        <w:adjustRightInd w:val="0"/>
        <w:spacing w:line="600" w:lineRule="exact"/>
        <w:ind w:firstLineChars="200" w:firstLine="643"/>
        <w:jc w:val="left"/>
        <w:rPr>
          <w:rFonts w:ascii="黑体" w:eastAsia="黑体" w:hAnsi="黑体"/>
          <w:b/>
          <w:bCs/>
          <w:kern w:val="0"/>
          <w:sz w:val="32"/>
          <w:szCs w:val="32"/>
        </w:rPr>
      </w:pPr>
    </w:p>
    <w:p w:rsidR="002266B0" w:rsidRDefault="000531ED">
      <w:pPr>
        <w:shd w:val="clear" w:color="auto" w:fill="FFFFFF"/>
        <w:adjustRightInd w:val="0"/>
        <w:spacing w:line="600" w:lineRule="exact"/>
        <w:ind w:firstLineChars="200" w:firstLine="643"/>
        <w:jc w:val="left"/>
        <w:rPr>
          <w:rFonts w:ascii="黑体" w:eastAsia="黑体" w:hAnsi="黑体"/>
          <w:kern w:val="0"/>
          <w:sz w:val="32"/>
          <w:szCs w:val="32"/>
        </w:rPr>
      </w:pPr>
      <w:r>
        <w:rPr>
          <w:rFonts w:ascii="黑体" w:eastAsia="黑体" w:hAnsi="黑体" w:hint="eastAsia"/>
          <w:b/>
          <w:bCs/>
          <w:kern w:val="0"/>
          <w:sz w:val="32"/>
          <w:szCs w:val="32"/>
        </w:rPr>
        <w:t>二、主动公开政府信息情况</w:t>
      </w:r>
    </w:p>
    <w:tbl>
      <w:tblPr>
        <w:tblW w:w="8972" w:type="dxa"/>
        <w:tblLayout w:type="fixed"/>
        <w:tblCellMar>
          <w:top w:w="15" w:type="dxa"/>
          <w:left w:w="15" w:type="dxa"/>
          <w:bottom w:w="15" w:type="dxa"/>
          <w:right w:w="15" w:type="dxa"/>
        </w:tblCellMar>
        <w:tblLook w:val="0000"/>
      </w:tblPr>
      <w:tblGrid>
        <w:gridCol w:w="3006"/>
        <w:gridCol w:w="2494"/>
        <w:gridCol w:w="1534"/>
        <w:gridCol w:w="1938"/>
      </w:tblGrid>
      <w:tr w:rsidR="002266B0">
        <w:trPr>
          <w:trHeight w:val="366"/>
        </w:trPr>
        <w:tc>
          <w:tcPr>
            <w:tcW w:w="8972" w:type="dxa"/>
            <w:gridSpan w:val="4"/>
            <w:tcBorders>
              <w:top w:val="single" w:sz="8" w:space="0" w:color="000000"/>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lastRenderedPageBreak/>
              <w:t>第二十条第（一）项</w:t>
            </w:r>
          </w:p>
        </w:tc>
      </w:tr>
      <w:tr w:rsidR="002266B0">
        <w:trPr>
          <w:trHeight w:val="731"/>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信息内容</w:t>
            </w:r>
          </w:p>
        </w:tc>
        <w:tc>
          <w:tcPr>
            <w:tcW w:w="249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本年新</w:t>
            </w:r>
            <w:r>
              <w:rPr>
                <w:rFonts w:ascii="宋体" w:hAnsi="宋体" w:hint="eastAsia"/>
                <w:kern w:val="0"/>
                <w:sz w:val="24"/>
                <w:szCs w:val="24"/>
              </w:rPr>
              <w:br/>
            </w:r>
            <w:r>
              <w:rPr>
                <w:rFonts w:ascii="宋体" w:hAnsi="宋体" w:hint="eastAsia"/>
                <w:kern w:val="0"/>
                <w:sz w:val="24"/>
                <w:szCs w:val="24"/>
              </w:rPr>
              <w:t>制作数量</w:t>
            </w:r>
          </w:p>
        </w:tc>
        <w:tc>
          <w:tcPr>
            <w:tcW w:w="153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本年新</w:t>
            </w:r>
            <w:r>
              <w:rPr>
                <w:rFonts w:ascii="宋体" w:hAnsi="宋体" w:hint="eastAsia"/>
                <w:kern w:val="0"/>
                <w:sz w:val="24"/>
                <w:szCs w:val="24"/>
              </w:rPr>
              <w:br/>
            </w:r>
            <w:r>
              <w:rPr>
                <w:rFonts w:ascii="宋体" w:hAnsi="宋体" w:hint="eastAsia"/>
                <w:kern w:val="0"/>
                <w:sz w:val="24"/>
                <w:szCs w:val="24"/>
              </w:rPr>
              <w:t>公开数量</w:t>
            </w:r>
          </w:p>
        </w:tc>
        <w:tc>
          <w:tcPr>
            <w:tcW w:w="1938"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对外公开总数量</w:t>
            </w:r>
          </w:p>
        </w:tc>
      </w:tr>
      <w:tr w:rsidR="002266B0">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规章</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规范性文件</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A84DD5">
            <w:pPr>
              <w:wordWrap w:val="0"/>
              <w:spacing w:line="360" w:lineRule="atLeast"/>
              <w:jc w:val="center"/>
              <w:rPr>
                <w:rFonts w:ascii="宋体" w:hAnsi="宋体"/>
                <w:kern w:val="0"/>
                <w:sz w:val="24"/>
                <w:szCs w:val="24"/>
              </w:rPr>
            </w:pPr>
            <w:r>
              <w:rPr>
                <w:rFonts w:ascii="宋体" w:hAnsi="宋体" w:hint="eastAsia"/>
                <w:kern w:val="0"/>
                <w:sz w:val="24"/>
                <w:szCs w:val="24"/>
              </w:rPr>
              <w:t>7</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A84DD5">
            <w:pPr>
              <w:wordWrap w:val="0"/>
              <w:spacing w:line="360" w:lineRule="atLeast"/>
              <w:jc w:val="center"/>
              <w:rPr>
                <w:rFonts w:ascii="宋体" w:hAnsi="宋体"/>
                <w:kern w:val="0"/>
                <w:sz w:val="24"/>
                <w:szCs w:val="24"/>
              </w:rPr>
            </w:pPr>
            <w:r>
              <w:rPr>
                <w:rFonts w:ascii="宋体" w:hAnsi="宋体" w:hint="eastAsia"/>
                <w:kern w:val="0"/>
                <w:sz w:val="24"/>
                <w:szCs w:val="24"/>
              </w:rPr>
              <w:t>7</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A84DD5">
            <w:pPr>
              <w:wordWrap w:val="0"/>
              <w:spacing w:line="360" w:lineRule="atLeast"/>
              <w:jc w:val="center"/>
              <w:rPr>
                <w:rFonts w:ascii="宋体" w:hAnsi="宋体"/>
                <w:kern w:val="0"/>
                <w:sz w:val="24"/>
                <w:szCs w:val="24"/>
              </w:rPr>
            </w:pPr>
            <w:r>
              <w:rPr>
                <w:rFonts w:ascii="宋体" w:hAnsi="宋体" w:hint="eastAsia"/>
                <w:kern w:val="0"/>
                <w:sz w:val="24"/>
                <w:szCs w:val="24"/>
              </w:rPr>
              <w:t>7</w:t>
            </w:r>
          </w:p>
        </w:tc>
      </w:tr>
      <w:tr w:rsidR="002266B0">
        <w:trPr>
          <w:trHeight w:val="366"/>
        </w:trPr>
        <w:tc>
          <w:tcPr>
            <w:tcW w:w="8972" w:type="dxa"/>
            <w:gridSpan w:val="4"/>
            <w:tcBorders>
              <w:top w:val="nil"/>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第二十条第（五）项</w:t>
            </w:r>
          </w:p>
        </w:tc>
      </w:tr>
      <w:tr w:rsidR="002266B0">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信息内容</w:t>
            </w:r>
          </w:p>
        </w:tc>
        <w:tc>
          <w:tcPr>
            <w:tcW w:w="249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上一年项目数量</w:t>
            </w:r>
          </w:p>
        </w:tc>
        <w:tc>
          <w:tcPr>
            <w:tcW w:w="153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本年增</w:t>
            </w:r>
            <w:r>
              <w:rPr>
                <w:rFonts w:ascii="宋体" w:hAnsi="宋体" w:hint="eastAsia"/>
                <w:kern w:val="0"/>
                <w:sz w:val="24"/>
                <w:szCs w:val="24"/>
              </w:rPr>
              <w:t>/</w:t>
            </w:r>
            <w:r>
              <w:rPr>
                <w:rFonts w:ascii="宋体" w:hAnsi="宋体" w:hint="eastAsia"/>
                <w:kern w:val="0"/>
                <w:sz w:val="24"/>
                <w:szCs w:val="24"/>
              </w:rPr>
              <w:t>减</w:t>
            </w:r>
          </w:p>
        </w:tc>
        <w:tc>
          <w:tcPr>
            <w:tcW w:w="1938"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处理决定数量</w:t>
            </w:r>
          </w:p>
        </w:tc>
      </w:tr>
      <w:tr w:rsidR="002266B0">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行政许可</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其他对外管理服务事项</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rPr>
          <w:trHeight w:val="366"/>
        </w:trPr>
        <w:tc>
          <w:tcPr>
            <w:tcW w:w="8972" w:type="dxa"/>
            <w:gridSpan w:val="4"/>
            <w:tcBorders>
              <w:top w:val="nil"/>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第二十条第（六）项</w:t>
            </w:r>
          </w:p>
        </w:tc>
      </w:tr>
      <w:tr w:rsidR="002266B0">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信息内容</w:t>
            </w:r>
          </w:p>
        </w:tc>
        <w:tc>
          <w:tcPr>
            <w:tcW w:w="249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上一年项目数量</w:t>
            </w:r>
          </w:p>
        </w:tc>
        <w:tc>
          <w:tcPr>
            <w:tcW w:w="153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本年增</w:t>
            </w:r>
            <w:r>
              <w:rPr>
                <w:rFonts w:ascii="宋体" w:hAnsi="宋体" w:hint="eastAsia"/>
                <w:kern w:val="0"/>
                <w:sz w:val="24"/>
                <w:szCs w:val="24"/>
              </w:rPr>
              <w:t>/</w:t>
            </w:r>
            <w:r>
              <w:rPr>
                <w:rFonts w:ascii="宋体" w:hAnsi="宋体" w:hint="eastAsia"/>
                <w:kern w:val="0"/>
                <w:sz w:val="24"/>
                <w:szCs w:val="24"/>
              </w:rPr>
              <w:t>减</w:t>
            </w:r>
          </w:p>
        </w:tc>
        <w:tc>
          <w:tcPr>
            <w:tcW w:w="1938"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处理决定数量</w:t>
            </w:r>
          </w:p>
        </w:tc>
      </w:tr>
      <w:tr w:rsidR="002266B0">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行政处罚</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行政强制</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rPr>
          <w:trHeight w:val="366"/>
        </w:trPr>
        <w:tc>
          <w:tcPr>
            <w:tcW w:w="8972" w:type="dxa"/>
            <w:gridSpan w:val="4"/>
            <w:tcBorders>
              <w:top w:val="nil"/>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第二十条第（八）项</w:t>
            </w:r>
          </w:p>
        </w:tc>
      </w:tr>
      <w:tr w:rsidR="002266B0">
        <w:trPr>
          <w:trHeight w:val="381"/>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信息内容</w:t>
            </w:r>
          </w:p>
        </w:tc>
        <w:tc>
          <w:tcPr>
            <w:tcW w:w="249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上一年项目数量</w:t>
            </w:r>
          </w:p>
        </w:tc>
        <w:tc>
          <w:tcPr>
            <w:tcW w:w="3472"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本年增</w:t>
            </w:r>
            <w:r>
              <w:rPr>
                <w:rFonts w:ascii="宋体" w:hAnsi="宋体" w:hint="eastAsia"/>
                <w:kern w:val="0"/>
                <w:sz w:val="24"/>
                <w:szCs w:val="24"/>
              </w:rPr>
              <w:t>/</w:t>
            </w:r>
            <w:r>
              <w:rPr>
                <w:rFonts w:ascii="宋体" w:hAnsi="宋体" w:hint="eastAsia"/>
                <w:kern w:val="0"/>
                <w:sz w:val="24"/>
                <w:szCs w:val="24"/>
              </w:rPr>
              <w:t>减</w:t>
            </w:r>
          </w:p>
        </w:tc>
      </w:tr>
      <w:tr w:rsidR="002266B0">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行政事业性收费</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3472"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rPr>
          <w:trHeight w:val="366"/>
        </w:trPr>
        <w:tc>
          <w:tcPr>
            <w:tcW w:w="8972" w:type="dxa"/>
            <w:gridSpan w:val="4"/>
            <w:tcBorders>
              <w:top w:val="nil"/>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第二十条第（九）项</w:t>
            </w:r>
          </w:p>
        </w:tc>
      </w:tr>
      <w:tr w:rsidR="002266B0">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信息内容</w:t>
            </w:r>
          </w:p>
        </w:tc>
        <w:tc>
          <w:tcPr>
            <w:tcW w:w="249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采购项目数量</w:t>
            </w:r>
          </w:p>
        </w:tc>
        <w:tc>
          <w:tcPr>
            <w:tcW w:w="3472"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采购总金额</w:t>
            </w:r>
          </w:p>
        </w:tc>
      </w:tr>
      <w:tr w:rsidR="002266B0">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政府集中采购</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A84DD5">
            <w:pPr>
              <w:wordWrap w:val="0"/>
              <w:spacing w:line="360" w:lineRule="atLeast"/>
              <w:jc w:val="center"/>
              <w:rPr>
                <w:rFonts w:ascii="宋体" w:hAnsi="宋体"/>
                <w:kern w:val="0"/>
                <w:sz w:val="24"/>
                <w:szCs w:val="24"/>
              </w:rPr>
            </w:pPr>
            <w:r>
              <w:rPr>
                <w:rFonts w:ascii="宋体" w:hAnsi="宋体" w:hint="eastAsia"/>
                <w:kern w:val="0"/>
                <w:sz w:val="24"/>
                <w:szCs w:val="24"/>
              </w:rPr>
              <w:t>2</w:t>
            </w:r>
          </w:p>
        </w:tc>
        <w:tc>
          <w:tcPr>
            <w:tcW w:w="3472"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r w:rsidR="00A84DD5">
              <w:rPr>
                <w:rFonts w:ascii="宋体" w:hAnsi="宋体" w:hint="eastAsia"/>
                <w:kern w:val="0"/>
                <w:sz w:val="24"/>
                <w:szCs w:val="24"/>
              </w:rPr>
              <w:t>.27亿</w:t>
            </w:r>
            <w:r>
              <w:rPr>
                <w:rFonts w:ascii="宋体" w:hAnsi="宋体" w:hint="eastAsia"/>
                <w:kern w:val="0"/>
                <w:sz w:val="24"/>
                <w:szCs w:val="24"/>
              </w:rPr>
              <w:t>元</w:t>
            </w:r>
          </w:p>
        </w:tc>
      </w:tr>
    </w:tbl>
    <w:p w:rsidR="002266B0" w:rsidRDefault="000531ED">
      <w:pPr>
        <w:shd w:val="clear" w:color="auto" w:fill="FFFFFF"/>
        <w:wordWrap w:val="0"/>
        <w:spacing w:line="540" w:lineRule="atLeast"/>
        <w:jc w:val="left"/>
        <w:rPr>
          <w:rFonts w:ascii="黑体" w:eastAsia="黑体" w:hAnsi="黑体"/>
          <w:kern w:val="0"/>
          <w:sz w:val="32"/>
          <w:szCs w:val="32"/>
        </w:rPr>
      </w:pPr>
      <w:r>
        <w:rPr>
          <w:rFonts w:ascii="微软雅黑" w:eastAsia="微软雅黑" w:hAnsi="微软雅黑" w:hint="eastAsia"/>
          <w:b/>
          <w:bCs/>
          <w:kern w:val="0"/>
          <w:sz w:val="24"/>
          <w:szCs w:val="24"/>
        </w:rPr>
        <w:t xml:space="preserve">　</w:t>
      </w:r>
      <w:r>
        <w:rPr>
          <w:rFonts w:ascii="黑体" w:eastAsia="黑体" w:hAnsi="黑体" w:hint="eastAsia"/>
          <w:b/>
          <w:bCs/>
          <w:kern w:val="0"/>
          <w:sz w:val="32"/>
          <w:szCs w:val="32"/>
        </w:rPr>
        <w:t xml:space="preserve">　三、收到和处理政府信息公开申请情况</w:t>
      </w:r>
    </w:p>
    <w:tbl>
      <w:tblPr>
        <w:tblW w:w="9085" w:type="dxa"/>
        <w:tblLayout w:type="fixed"/>
        <w:tblCellMar>
          <w:top w:w="15" w:type="dxa"/>
          <w:left w:w="15" w:type="dxa"/>
          <w:bottom w:w="15" w:type="dxa"/>
          <w:right w:w="15" w:type="dxa"/>
        </w:tblCellMar>
        <w:tblLook w:val="0000"/>
      </w:tblPr>
      <w:tblGrid>
        <w:gridCol w:w="808"/>
        <w:gridCol w:w="1050"/>
        <w:gridCol w:w="1801"/>
        <w:gridCol w:w="794"/>
        <w:gridCol w:w="736"/>
        <w:gridCol w:w="736"/>
        <w:gridCol w:w="794"/>
        <w:gridCol w:w="959"/>
        <w:gridCol w:w="718"/>
        <w:gridCol w:w="689"/>
      </w:tblGrid>
      <w:tr w:rsidR="002266B0">
        <w:tc>
          <w:tcPr>
            <w:tcW w:w="3659" w:type="dxa"/>
            <w:gridSpan w:val="3"/>
            <w:vMerge w:val="restart"/>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（本列数据的勾稽关系为：第一项加第二项之和，等于第三项加第四项之和）</w:t>
            </w:r>
          </w:p>
        </w:tc>
        <w:tc>
          <w:tcPr>
            <w:tcW w:w="5426" w:type="dxa"/>
            <w:gridSpan w:val="7"/>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申请人情况</w:t>
            </w:r>
          </w:p>
        </w:tc>
      </w:tr>
      <w:tr w:rsidR="002266B0">
        <w:tc>
          <w:tcPr>
            <w:tcW w:w="3659" w:type="dxa"/>
            <w:gridSpan w:val="3"/>
            <w:vMerge/>
            <w:tcBorders>
              <w:top w:val="single" w:sz="8" w:space="0" w:color="000000"/>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794"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自然人</w:t>
            </w:r>
          </w:p>
        </w:tc>
        <w:tc>
          <w:tcPr>
            <w:tcW w:w="3943" w:type="dxa"/>
            <w:gridSpan w:val="5"/>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法人或其他组织</w:t>
            </w:r>
          </w:p>
        </w:tc>
        <w:tc>
          <w:tcPr>
            <w:tcW w:w="689" w:type="dxa"/>
            <w:vMerge w:val="restart"/>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总计</w:t>
            </w:r>
          </w:p>
        </w:tc>
      </w:tr>
      <w:tr w:rsidR="002266B0">
        <w:tc>
          <w:tcPr>
            <w:tcW w:w="3659" w:type="dxa"/>
            <w:gridSpan w:val="3"/>
            <w:vMerge/>
            <w:tcBorders>
              <w:top w:val="single" w:sz="8" w:space="0" w:color="000000"/>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794"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商业企业</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科研机构</w:t>
            </w:r>
          </w:p>
        </w:tc>
        <w:tc>
          <w:tcPr>
            <w:tcW w:w="79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社会公益组织</w:t>
            </w:r>
          </w:p>
        </w:tc>
        <w:tc>
          <w:tcPr>
            <w:tcW w:w="959"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法律服务机构</w:t>
            </w:r>
          </w:p>
        </w:tc>
        <w:tc>
          <w:tcPr>
            <w:tcW w:w="718"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其他</w:t>
            </w:r>
          </w:p>
        </w:tc>
        <w:tc>
          <w:tcPr>
            <w:tcW w:w="689" w:type="dxa"/>
            <w:vMerge/>
            <w:tcBorders>
              <w:top w:val="single" w:sz="8" w:space="0" w:color="000000"/>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r>
      <w:tr w:rsidR="002266B0">
        <w:tc>
          <w:tcPr>
            <w:tcW w:w="3659" w:type="dxa"/>
            <w:gridSpan w:val="3"/>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一、本年新收政府信息公开申请</w:t>
            </w:r>
            <w:r>
              <w:rPr>
                <w:rFonts w:ascii="宋体" w:hAnsi="宋体" w:hint="eastAsia"/>
                <w:kern w:val="0"/>
                <w:sz w:val="24"/>
                <w:szCs w:val="24"/>
              </w:rPr>
              <w:lastRenderedPageBreak/>
              <w:t>数量</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3659" w:type="dxa"/>
            <w:gridSpan w:val="3"/>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lastRenderedPageBreak/>
              <w:t>二、上年结转政府信息公开申请数量</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三、本年度办理结果</w:t>
            </w:r>
          </w:p>
        </w:tc>
        <w:tc>
          <w:tcPr>
            <w:tcW w:w="2851"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（一）予以公开</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rPr>
                <w:rFonts w:ascii="宋体" w:hAnsi="宋体"/>
                <w:kern w:val="0"/>
                <w:sz w:val="24"/>
                <w:szCs w:val="24"/>
              </w:rPr>
            </w:pP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89"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2851"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（二）部分公开（区分处理的，只计这一情形，不计其他情形）</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（三）不予公开</w:t>
            </w: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属于国家秘密</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89"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其他法律行政法规禁止公开</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危及“三安全一稳定”</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4.</w:t>
            </w:r>
            <w:r>
              <w:rPr>
                <w:rFonts w:ascii="宋体" w:hAnsi="宋体" w:hint="eastAsia"/>
                <w:kern w:val="0"/>
                <w:sz w:val="24"/>
                <w:szCs w:val="24"/>
              </w:rPr>
              <w:t>保护第三方合法权益</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5.</w:t>
            </w:r>
            <w:r>
              <w:rPr>
                <w:rFonts w:ascii="宋体" w:hAnsi="宋体" w:hint="eastAsia"/>
                <w:kern w:val="0"/>
                <w:sz w:val="24"/>
                <w:szCs w:val="24"/>
              </w:rPr>
              <w:t>属于三类内部事务信息</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6.</w:t>
            </w:r>
            <w:r>
              <w:rPr>
                <w:rFonts w:ascii="宋体" w:hAnsi="宋体" w:hint="eastAsia"/>
                <w:kern w:val="0"/>
                <w:sz w:val="24"/>
                <w:szCs w:val="24"/>
              </w:rPr>
              <w:t>属于四类过程性信息</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7.</w:t>
            </w:r>
            <w:r>
              <w:rPr>
                <w:rFonts w:ascii="宋体" w:hAnsi="宋体" w:hint="eastAsia"/>
                <w:kern w:val="0"/>
                <w:sz w:val="24"/>
                <w:szCs w:val="24"/>
              </w:rPr>
              <w:t>属于行政执法案卷</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8.</w:t>
            </w:r>
            <w:r>
              <w:rPr>
                <w:rFonts w:ascii="宋体" w:hAnsi="宋体" w:hint="eastAsia"/>
                <w:kern w:val="0"/>
                <w:sz w:val="24"/>
                <w:szCs w:val="24"/>
              </w:rPr>
              <w:t>属于行政查询事项</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（四）无法提供</w:t>
            </w: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本机关不掌握相关政府信息</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没有现成信息需要另行制作</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补正后申请内容仍不明确</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（五）不予处理</w:t>
            </w: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信访举报投诉类申请</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重复申请</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要求提供公开出版物</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4.</w:t>
            </w:r>
            <w:r>
              <w:rPr>
                <w:rFonts w:ascii="宋体" w:hAnsi="宋体" w:hint="eastAsia"/>
                <w:kern w:val="0"/>
                <w:sz w:val="24"/>
                <w:szCs w:val="24"/>
              </w:rPr>
              <w:t>无正当理由大量反复申请</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050"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18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5.</w:t>
            </w:r>
            <w:r>
              <w:rPr>
                <w:rFonts w:ascii="宋体" w:hAnsi="宋体" w:hint="eastAsia"/>
                <w:kern w:val="0"/>
                <w:sz w:val="24"/>
                <w:szCs w:val="24"/>
              </w:rPr>
              <w:t>要求行政机关确认或重新出具已获取信息</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2851"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（六）其他处理</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808"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2851"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（七）总计</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r w:rsidR="002266B0">
        <w:tc>
          <w:tcPr>
            <w:tcW w:w="3659" w:type="dxa"/>
            <w:gridSpan w:val="3"/>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left"/>
              <w:rPr>
                <w:rFonts w:ascii="宋体" w:hAnsi="宋体"/>
                <w:kern w:val="0"/>
                <w:sz w:val="24"/>
                <w:szCs w:val="24"/>
              </w:rPr>
            </w:pPr>
            <w:r>
              <w:rPr>
                <w:rFonts w:ascii="宋体" w:hAnsi="宋体" w:hint="eastAsia"/>
                <w:kern w:val="0"/>
                <w:sz w:val="24"/>
                <w:szCs w:val="24"/>
              </w:rPr>
              <w:t>四、结转下年度继续办理</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736"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95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 </w:t>
            </w:r>
          </w:p>
        </w:tc>
        <w:tc>
          <w:tcPr>
            <w:tcW w:w="71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bl>
    <w:p w:rsidR="002266B0" w:rsidRDefault="000531ED">
      <w:pPr>
        <w:shd w:val="clear" w:color="auto" w:fill="FFFFFF"/>
        <w:wordWrap w:val="0"/>
        <w:spacing w:line="540" w:lineRule="atLeast"/>
        <w:jc w:val="left"/>
        <w:rPr>
          <w:rFonts w:ascii="黑体" w:eastAsia="黑体" w:hAnsi="黑体"/>
          <w:kern w:val="0"/>
          <w:sz w:val="32"/>
          <w:szCs w:val="32"/>
        </w:rPr>
      </w:pPr>
      <w:r>
        <w:rPr>
          <w:rFonts w:ascii="微软雅黑" w:eastAsia="微软雅黑" w:hAnsi="微软雅黑" w:hint="eastAsia"/>
          <w:b/>
          <w:bCs/>
          <w:kern w:val="0"/>
          <w:sz w:val="24"/>
          <w:szCs w:val="24"/>
        </w:rPr>
        <w:t xml:space="preserve">　</w:t>
      </w:r>
      <w:r>
        <w:rPr>
          <w:rFonts w:ascii="黑体" w:eastAsia="黑体" w:hAnsi="黑体" w:hint="eastAsia"/>
          <w:b/>
          <w:bCs/>
          <w:kern w:val="0"/>
          <w:sz w:val="32"/>
          <w:szCs w:val="32"/>
        </w:rPr>
        <w:t xml:space="preserve">　四、政府信息公开行政复议、行政诉讼情况</w:t>
      </w:r>
    </w:p>
    <w:tbl>
      <w:tblPr>
        <w:tblW w:w="9075" w:type="dxa"/>
        <w:tblLayout w:type="fixed"/>
        <w:tblCellMar>
          <w:top w:w="15" w:type="dxa"/>
          <w:left w:w="15" w:type="dxa"/>
          <w:bottom w:w="15" w:type="dxa"/>
          <w:right w:w="15" w:type="dxa"/>
        </w:tblCellMar>
        <w:tblLook w:val="0000"/>
      </w:tblPr>
      <w:tblGrid>
        <w:gridCol w:w="602"/>
        <w:gridCol w:w="602"/>
        <w:gridCol w:w="603"/>
        <w:gridCol w:w="603"/>
        <w:gridCol w:w="661"/>
        <w:gridCol w:w="557"/>
        <w:gridCol w:w="603"/>
        <w:gridCol w:w="603"/>
        <w:gridCol w:w="603"/>
        <w:gridCol w:w="621"/>
        <w:gridCol w:w="604"/>
        <w:gridCol w:w="604"/>
        <w:gridCol w:w="604"/>
        <w:gridCol w:w="604"/>
        <w:gridCol w:w="601"/>
      </w:tblGrid>
      <w:tr w:rsidR="002266B0">
        <w:tc>
          <w:tcPr>
            <w:tcW w:w="3071" w:type="dxa"/>
            <w:gridSpan w:val="5"/>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行政复议</w:t>
            </w:r>
          </w:p>
        </w:tc>
        <w:tc>
          <w:tcPr>
            <w:tcW w:w="6004" w:type="dxa"/>
            <w:gridSpan w:val="10"/>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行政诉讼</w:t>
            </w:r>
          </w:p>
        </w:tc>
      </w:tr>
      <w:tr w:rsidR="002266B0">
        <w:tc>
          <w:tcPr>
            <w:tcW w:w="602"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结果维持</w:t>
            </w:r>
          </w:p>
        </w:tc>
        <w:tc>
          <w:tcPr>
            <w:tcW w:w="602"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结果纠正</w:t>
            </w:r>
          </w:p>
        </w:tc>
        <w:tc>
          <w:tcPr>
            <w:tcW w:w="603" w:type="dxa"/>
            <w:vMerge w:val="restart"/>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其他结果</w:t>
            </w:r>
          </w:p>
        </w:tc>
        <w:tc>
          <w:tcPr>
            <w:tcW w:w="603" w:type="dxa"/>
            <w:vMerge w:val="restart"/>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尚未审结</w:t>
            </w:r>
          </w:p>
        </w:tc>
        <w:tc>
          <w:tcPr>
            <w:tcW w:w="661" w:type="dxa"/>
            <w:vMerge w:val="restart"/>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总计</w:t>
            </w:r>
          </w:p>
        </w:tc>
        <w:tc>
          <w:tcPr>
            <w:tcW w:w="2987" w:type="dxa"/>
            <w:gridSpan w:val="5"/>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未经复议直接起诉</w:t>
            </w:r>
          </w:p>
        </w:tc>
        <w:tc>
          <w:tcPr>
            <w:tcW w:w="3017" w:type="dxa"/>
            <w:gridSpan w:val="5"/>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复议后起诉</w:t>
            </w:r>
          </w:p>
        </w:tc>
      </w:tr>
      <w:tr w:rsidR="002266B0">
        <w:tc>
          <w:tcPr>
            <w:tcW w:w="602" w:type="dxa"/>
            <w:vMerge/>
            <w:tcBorders>
              <w:top w:val="nil"/>
              <w:left w:val="single" w:sz="8" w:space="0" w:color="000000"/>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602" w:type="dxa"/>
            <w:vMerge/>
            <w:tcBorders>
              <w:top w:val="nil"/>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603" w:type="dxa"/>
            <w:vMerge/>
            <w:tcBorders>
              <w:top w:val="single" w:sz="8" w:space="0" w:color="000000"/>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603" w:type="dxa"/>
            <w:vMerge/>
            <w:tcBorders>
              <w:top w:val="single" w:sz="8" w:space="0" w:color="000000"/>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661" w:type="dxa"/>
            <w:vMerge/>
            <w:tcBorders>
              <w:top w:val="single" w:sz="8" w:space="0" w:color="000000"/>
              <w:left w:val="nil"/>
              <w:bottom w:val="single" w:sz="8" w:space="0" w:color="000000"/>
              <w:right w:val="single" w:sz="8" w:space="0" w:color="000000"/>
            </w:tcBorders>
            <w:vAlign w:val="center"/>
          </w:tcPr>
          <w:p w:rsidR="002266B0" w:rsidRDefault="002266B0">
            <w:pPr>
              <w:jc w:val="left"/>
              <w:rPr>
                <w:rFonts w:ascii="宋体" w:hAnsi="宋体"/>
                <w:kern w:val="0"/>
                <w:sz w:val="24"/>
                <w:szCs w:val="24"/>
              </w:rPr>
            </w:pPr>
          </w:p>
        </w:tc>
        <w:tc>
          <w:tcPr>
            <w:tcW w:w="55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结果维持</w:t>
            </w: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结果纠正</w:t>
            </w:r>
          </w:p>
        </w:tc>
        <w:tc>
          <w:tcPr>
            <w:tcW w:w="603"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其他结果</w:t>
            </w:r>
          </w:p>
        </w:tc>
        <w:tc>
          <w:tcPr>
            <w:tcW w:w="603"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尚未审结</w:t>
            </w:r>
          </w:p>
        </w:tc>
        <w:tc>
          <w:tcPr>
            <w:tcW w:w="62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总计</w:t>
            </w:r>
          </w:p>
        </w:tc>
        <w:tc>
          <w:tcPr>
            <w:tcW w:w="60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结果维持</w:t>
            </w:r>
          </w:p>
        </w:tc>
        <w:tc>
          <w:tcPr>
            <w:tcW w:w="60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结果纠正</w:t>
            </w:r>
          </w:p>
        </w:tc>
        <w:tc>
          <w:tcPr>
            <w:tcW w:w="60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其他结果</w:t>
            </w:r>
          </w:p>
        </w:tc>
        <w:tc>
          <w:tcPr>
            <w:tcW w:w="60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尚未审结</w:t>
            </w:r>
          </w:p>
        </w:tc>
        <w:tc>
          <w:tcPr>
            <w:tcW w:w="60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总计</w:t>
            </w:r>
          </w:p>
        </w:tc>
      </w:tr>
      <w:tr w:rsidR="002266B0">
        <w:tc>
          <w:tcPr>
            <w:tcW w:w="602"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0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6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55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c>
          <w:tcPr>
            <w:tcW w:w="62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0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0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0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0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2266B0">
            <w:pPr>
              <w:wordWrap w:val="0"/>
              <w:spacing w:line="360" w:lineRule="atLeast"/>
              <w:jc w:val="center"/>
              <w:rPr>
                <w:rFonts w:ascii="宋体" w:hAnsi="宋体"/>
                <w:kern w:val="0"/>
                <w:sz w:val="24"/>
                <w:szCs w:val="24"/>
              </w:rPr>
            </w:pPr>
          </w:p>
        </w:tc>
        <w:tc>
          <w:tcPr>
            <w:tcW w:w="6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2266B0" w:rsidRDefault="000531ED">
            <w:pPr>
              <w:wordWrap w:val="0"/>
              <w:spacing w:line="360" w:lineRule="atLeast"/>
              <w:jc w:val="center"/>
              <w:rPr>
                <w:rFonts w:ascii="宋体" w:hAnsi="宋体"/>
                <w:kern w:val="0"/>
                <w:sz w:val="24"/>
                <w:szCs w:val="24"/>
              </w:rPr>
            </w:pPr>
            <w:r>
              <w:rPr>
                <w:rFonts w:ascii="宋体" w:hAnsi="宋体" w:hint="eastAsia"/>
                <w:kern w:val="0"/>
                <w:sz w:val="24"/>
                <w:szCs w:val="24"/>
              </w:rPr>
              <w:t>0</w:t>
            </w:r>
          </w:p>
        </w:tc>
      </w:tr>
    </w:tbl>
    <w:p w:rsidR="002266B0" w:rsidRDefault="000531ED">
      <w:pPr>
        <w:shd w:val="clear" w:color="auto" w:fill="FFFFFF"/>
        <w:wordWrap w:val="0"/>
        <w:spacing w:line="540" w:lineRule="atLeast"/>
        <w:ind w:firstLineChars="200" w:firstLine="643"/>
        <w:jc w:val="left"/>
        <w:rPr>
          <w:rFonts w:ascii="黑体" w:eastAsia="黑体" w:hAnsi="黑体"/>
          <w:kern w:val="0"/>
          <w:sz w:val="32"/>
          <w:szCs w:val="32"/>
        </w:rPr>
      </w:pPr>
      <w:r>
        <w:rPr>
          <w:rFonts w:ascii="黑体" w:eastAsia="黑体" w:hAnsi="黑体" w:hint="eastAsia"/>
          <w:b/>
          <w:bCs/>
          <w:kern w:val="0"/>
          <w:sz w:val="32"/>
          <w:szCs w:val="32"/>
        </w:rPr>
        <w:t>五、存在的主要问题及改进情况</w:t>
      </w:r>
    </w:p>
    <w:p w:rsidR="002266B0" w:rsidRDefault="000531ED">
      <w:pPr>
        <w:shd w:val="clear" w:color="auto" w:fill="FFFFFF"/>
        <w:wordWrap w:val="0"/>
        <w:spacing w:line="620" w:lineRule="exact"/>
        <w:ind w:firstLineChars="200" w:firstLine="640"/>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下一步，我们将进一步全面推进政府信息公开工作，主要做好以下工作：</w:t>
      </w:r>
      <w:r>
        <w:rPr>
          <w:rFonts w:ascii="仿宋_GB2312" w:eastAsia="仿宋_GB2312" w:hAnsi="仿宋_GB2312" w:cs="仿宋_GB2312" w:hint="eastAsia"/>
          <w:kern w:val="0"/>
          <w:sz w:val="32"/>
          <w:szCs w:val="32"/>
          <w:shd w:val="clear" w:color="auto" w:fill="FFFFFF"/>
        </w:rPr>
        <w:t xml:space="preserve"> </w:t>
      </w:r>
    </w:p>
    <w:p w:rsidR="002266B0" w:rsidRDefault="000531ED" w:rsidP="00A84DD5">
      <w:pPr>
        <w:pStyle w:val="1"/>
        <w:widowControl w:val="0"/>
        <w:shd w:val="clear" w:color="auto" w:fill="FFFFFF"/>
        <w:spacing w:before="0" w:beforeAutospacing="0" w:after="0" w:afterAutospacing="0" w:line="620" w:lineRule="exact"/>
        <w:ind w:firstLineChars="199" w:firstLine="637"/>
        <w:rPr>
          <w:rFonts w:ascii="仿宋_GB2312" w:eastAsia="仿宋_GB2312" w:hAnsi="仿宋_GB2312" w:cs="仿宋_GB2312"/>
          <w:sz w:val="32"/>
          <w:szCs w:val="32"/>
          <w:shd w:val="clear" w:color="auto" w:fill="FFFFFF"/>
        </w:rPr>
      </w:pPr>
      <w:r>
        <w:rPr>
          <w:rStyle w:val="a5"/>
          <w:rFonts w:ascii="楷体_GB2312" w:eastAsia="楷体_GB2312" w:hAnsi="楷体_GB2312" w:cs="楷体_GB2312" w:hint="eastAsia"/>
          <w:sz w:val="32"/>
          <w:szCs w:val="32"/>
          <w:shd w:val="clear" w:color="auto" w:fill="FFFFFF"/>
        </w:rPr>
        <w:t>一是进一步健全完善公开制度体系。</w:t>
      </w:r>
      <w:r>
        <w:rPr>
          <w:rFonts w:ascii="仿宋_GB2312" w:eastAsia="仿宋_GB2312" w:hAnsi="仿宋_GB2312" w:cs="仿宋_GB2312" w:hint="eastAsia"/>
          <w:sz w:val="32"/>
          <w:szCs w:val="32"/>
          <w:shd w:val="clear" w:color="auto" w:fill="FFFFFF"/>
        </w:rPr>
        <w:t>研究制订贯彻全面推进政务公开工作的实施办法，督促各</w:t>
      </w:r>
      <w:r>
        <w:rPr>
          <w:rFonts w:ascii="仿宋_GB2312" w:eastAsia="仿宋_GB2312" w:hAnsi="仿宋_GB2312" w:cs="仿宋_GB2312" w:hint="eastAsia"/>
          <w:sz w:val="32"/>
          <w:szCs w:val="32"/>
          <w:shd w:val="clear" w:color="auto" w:fill="FFFFFF"/>
        </w:rPr>
        <w:t>乡镇</w:t>
      </w:r>
      <w:r>
        <w:rPr>
          <w:rFonts w:ascii="仿宋_GB2312" w:eastAsia="仿宋_GB2312" w:hAnsi="仿宋_GB2312" w:cs="仿宋_GB2312" w:hint="eastAsia"/>
          <w:sz w:val="32"/>
          <w:szCs w:val="32"/>
          <w:shd w:val="clear" w:color="auto" w:fill="FFFFFF"/>
        </w:rPr>
        <w:t>各</w:t>
      </w:r>
      <w:r>
        <w:rPr>
          <w:rFonts w:ascii="仿宋_GB2312" w:eastAsia="仿宋_GB2312" w:hAnsi="仿宋_GB2312" w:cs="仿宋_GB2312" w:hint="eastAsia"/>
          <w:sz w:val="32"/>
          <w:szCs w:val="32"/>
          <w:shd w:val="clear" w:color="auto" w:fill="FFFFFF"/>
        </w:rPr>
        <w:t>单位</w:t>
      </w:r>
      <w:r>
        <w:rPr>
          <w:rFonts w:ascii="仿宋_GB2312" w:eastAsia="仿宋_GB2312" w:hAnsi="仿宋_GB2312" w:cs="仿宋_GB2312" w:hint="eastAsia"/>
          <w:sz w:val="32"/>
          <w:szCs w:val="32"/>
          <w:shd w:val="clear" w:color="auto" w:fill="FFFFFF"/>
        </w:rPr>
        <w:t>建立健全政府信息公开工作领导和协调机制，建立健全政府信息公开</w:t>
      </w:r>
      <w:r>
        <w:rPr>
          <w:rFonts w:ascii="仿宋_GB2312" w:eastAsia="仿宋_GB2312" w:hAnsi="仿宋_GB2312" w:cs="仿宋_GB2312" w:hint="eastAsia"/>
          <w:sz w:val="32"/>
          <w:szCs w:val="32"/>
          <w:shd w:val="clear" w:color="auto" w:fill="FFFFFF"/>
        </w:rPr>
        <w:lastRenderedPageBreak/>
        <w:t>申请接受、登记、办理、审核、答复、归档环节工作制度，建立完善政府信息公开工作考核、社会评议、工作统计和举报办理制度。推进政府信息公开标准化建设，继续完善更新全省政府信息公开基本目录。</w:t>
      </w:r>
    </w:p>
    <w:p w:rsidR="002266B0" w:rsidRDefault="000531ED" w:rsidP="00A84DD5">
      <w:pPr>
        <w:pStyle w:val="1"/>
        <w:widowControl w:val="0"/>
        <w:shd w:val="clear" w:color="auto" w:fill="FFFFFF"/>
        <w:spacing w:before="0" w:beforeAutospacing="0" w:after="0" w:afterAutospacing="0" w:line="620" w:lineRule="exact"/>
        <w:ind w:firstLineChars="199" w:firstLine="637"/>
        <w:rPr>
          <w:rFonts w:ascii="仿宋_GB2312" w:eastAsia="仿宋_GB2312" w:hAnsi="仿宋_GB2312" w:cs="仿宋_GB2312"/>
          <w:sz w:val="32"/>
          <w:szCs w:val="32"/>
          <w:shd w:val="clear" w:color="auto" w:fill="FFFFFF"/>
        </w:rPr>
      </w:pPr>
      <w:r>
        <w:rPr>
          <w:rStyle w:val="a5"/>
          <w:rFonts w:ascii="楷体_GB2312" w:eastAsia="楷体_GB2312" w:hAnsi="楷体_GB2312" w:cs="楷体_GB2312" w:hint="eastAsia"/>
          <w:sz w:val="32"/>
          <w:szCs w:val="32"/>
          <w:shd w:val="clear" w:color="auto" w:fill="FFFFFF"/>
        </w:rPr>
        <w:t>二是着力深化重点领域信息公开。</w:t>
      </w:r>
      <w:r>
        <w:rPr>
          <w:rFonts w:ascii="仿宋_GB2312" w:eastAsia="仿宋_GB2312" w:hAnsi="仿宋_GB2312" w:cs="仿宋_GB2312" w:hint="eastAsia"/>
          <w:sz w:val="32"/>
          <w:szCs w:val="32"/>
          <w:shd w:val="clear" w:color="auto" w:fill="FFFFFF"/>
        </w:rPr>
        <w:t>加大推进权责清单、市场准入负面清单、市场监管、财政资金、公共资源配置、重大项目建设、减税降费、精准扶贫、就业创业、社会救助、环境保护等重点领域信息公开力度，分专题进行梳理、汇总，通过政府网站开设专栏等进行集中发布，切实提升公开质量和实效，更好地服务经济社会发展和民生改善。</w:t>
      </w:r>
    </w:p>
    <w:p w:rsidR="002266B0" w:rsidRDefault="000531ED" w:rsidP="00A84DD5">
      <w:pPr>
        <w:pStyle w:val="1"/>
        <w:widowControl w:val="0"/>
        <w:shd w:val="clear" w:color="auto" w:fill="FFFFFF"/>
        <w:spacing w:before="0" w:beforeAutospacing="0" w:after="0" w:afterAutospacing="0" w:line="620" w:lineRule="exact"/>
        <w:ind w:firstLineChars="200" w:firstLine="640"/>
        <w:rPr>
          <w:rFonts w:ascii="仿宋_GB2312" w:eastAsia="仿宋_GB2312" w:hAnsi="仿宋_GB2312" w:cs="仿宋_GB2312"/>
          <w:sz w:val="32"/>
          <w:szCs w:val="32"/>
        </w:rPr>
      </w:pPr>
      <w:r>
        <w:rPr>
          <w:rStyle w:val="a5"/>
          <w:rFonts w:ascii="楷体_GB2312" w:eastAsia="楷体_GB2312" w:hAnsi="楷体_GB2312" w:cs="楷体_GB2312" w:hint="eastAsia"/>
          <w:sz w:val="32"/>
          <w:szCs w:val="32"/>
        </w:rPr>
        <w:t>三是大力推进公开信息化建设。</w:t>
      </w:r>
      <w:r>
        <w:rPr>
          <w:rFonts w:ascii="仿宋_GB2312" w:eastAsia="仿宋_GB2312" w:hAnsi="仿宋_GB2312" w:cs="仿宋_GB2312" w:hint="eastAsia"/>
          <w:sz w:val="32"/>
          <w:szCs w:val="32"/>
        </w:rPr>
        <w:t>积极顺应“互联网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”发展趋势，加大以政府门户网站为核心的公开集约化平台体系建设，整合信息公开平台资源，健全信息发布更新机制。</w:t>
      </w:r>
      <w:r>
        <w:rPr>
          <w:rFonts w:ascii="仿宋_GB2312" w:eastAsia="仿宋_GB2312" w:hAnsi="仿宋_GB2312" w:cs="仿宋_GB2312" w:hint="eastAsia"/>
          <w:sz w:val="32"/>
          <w:szCs w:val="32"/>
        </w:rPr>
        <w:t xml:space="preserve"> </w:t>
      </w:r>
    </w:p>
    <w:p w:rsidR="002266B0" w:rsidRDefault="000531ED">
      <w:pPr>
        <w:pStyle w:val="1"/>
        <w:widowControl w:val="0"/>
        <w:shd w:val="clear" w:color="auto" w:fill="FFFFFF"/>
        <w:spacing w:before="0" w:beforeAutospacing="0" w:after="0" w:afterAutospacing="0"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Style w:val="a5"/>
          <w:rFonts w:ascii="楷体_GB2312" w:eastAsia="楷体_GB2312" w:hAnsi="楷体_GB2312" w:cs="楷体_GB2312" w:hint="eastAsia"/>
          <w:sz w:val="32"/>
          <w:szCs w:val="32"/>
        </w:rPr>
        <w:t>四是努力扩大政务的公众参与。</w:t>
      </w:r>
      <w:r>
        <w:rPr>
          <w:rFonts w:ascii="仿宋_GB2312" w:eastAsia="仿宋_GB2312" w:hAnsi="仿宋_GB2312" w:cs="仿宋_GB2312" w:hint="eastAsia"/>
          <w:sz w:val="32"/>
          <w:szCs w:val="32"/>
        </w:rPr>
        <w:t>积极推进通过政府信息</w:t>
      </w:r>
      <w:r>
        <w:rPr>
          <w:rFonts w:ascii="仿宋_GB2312" w:eastAsia="仿宋_GB2312" w:hAnsi="仿宋_GB2312" w:cs="仿宋_GB2312" w:hint="eastAsia"/>
          <w:sz w:val="32"/>
          <w:szCs w:val="32"/>
        </w:rPr>
        <w:t>公开让公众更大程度参与政府政策制定和社会治理，大力推进重要政策解读和政策制定工作同步考虑、同步安排，提高解读的针对性、科学性、可读性和权威性，加强重大政务舆情回应工作，及时回应社会关切，通过政府信息公开搭建公众参与政策制定、执行和监督的桥梁，畅通问政于民、问需于民、问计于民渠道。</w:t>
      </w:r>
    </w:p>
    <w:p w:rsidR="002266B0" w:rsidRDefault="000531ED" w:rsidP="00A84DD5">
      <w:pPr>
        <w:pStyle w:val="1"/>
        <w:widowControl w:val="0"/>
        <w:shd w:val="clear" w:color="auto" w:fill="FFFFFF"/>
        <w:spacing w:before="0" w:beforeAutospacing="0" w:after="0" w:afterAutospacing="0" w:line="620" w:lineRule="exact"/>
        <w:ind w:firstLineChars="199" w:firstLine="637"/>
        <w:rPr>
          <w:rFonts w:ascii="仿宋_GB2312" w:eastAsia="仿宋_GB2312" w:hAnsi="仿宋_GB2312" w:cs="仿宋_GB2312"/>
          <w:sz w:val="32"/>
          <w:szCs w:val="32"/>
        </w:rPr>
      </w:pPr>
      <w:r>
        <w:rPr>
          <w:rStyle w:val="a5"/>
          <w:rFonts w:ascii="楷体_GB2312" w:eastAsia="楷体_GB2312" w:hAnsi="楷体_GB2312" w:cs="楷体_GB2312" w:hint="eastAsia"/>
          <w:sz w:val="32"/>
          <w:szCs w:val="32"/>
        </w:rPr>
        <w:t>五是着力加强公开工作队伍建设。</w:t>
      </w:r>
      <w:r>
        <w:rPr>
          <w:rFonts w:ascii="仿宋_GB2312" w:eastAsia="仿宋_GB2312" w:hAnsi="仿宋_GB2312" w:cs="仿宋_GB2312" w:hint="eastAsia"/>
          <w:sz w:val="32"/>
          <w:szCs w:val="32"/>
        </w:rPr>
        <w:t>督促各相关单位加强政府信息公开专门机构建设，充实人员力量，设备等工作条</w:t>
      </w:r>
      <w:r>
        <w:rPr>
          <w:rFonts w:ascii="仿宋_GB2312" w:eastAsia="仿宋_GB2312" w:hAnsi="仿宋_GB2312" w:cs="仿宋_GB2312" w:hint="eastAsia"/>
          <w:sz w:val="32"/>
          <w:szCs w:val="32"/>
        </w:rPr>
        <w:lastRenderedPageBreak/>
        <w:t>件。制定业务培训计划，分级分层组织实施，切实提高人员队伍的综合素质和业务能力。</w:t>
      </w:r>
    </w:p>
    <w:p w:rsidR="002266B0" w:rsidRDefault="000531ED">
      <w:pPr>
        <w:pStyle w:val="1"/>
        <w:widowControl w:val="0"/>
        <w:shd w:val="clear" w:color="auto" w:fill="FFFFFF"/>
        <w:spacing w:before="0" w:beforeAutospacing="0" w:after="0" w:afterAutospacing="0" w:line="620" w:lineRule="exact"/>
        <w:ind w:firstLine="4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w:t>
      </w:r>
      <w:r>
        <w:rPr>
          <w:rFonts w:ascii="仿宋_GB2312" w:eastAsia="仿宋_GB2312" w:hAnsi="仿宋_GB2312" w:cs="仿宋_GB2312" w:hint="eastAsia"/>
          <w:sz w:val="32"/>
          <w:szCs w:val="32"/>
          <w:shd w:val="clear" w:color="auto" w:fill="FFFFFF"/>
        </w:rPr>
        <w:t>我们在今后的实际工作中，加强对政务公开的管理，定</w:t>
      </w:r>
      <w:r>
        <w:rPr>
          <w:rFonts w:ascii="仿宋_GB2312" w:eastAsia="仿宋_GB2312" w:hAnsi="仿宋_GB2312" w:cs="仿宋_GB2312" w:hint="eastAsia"/>
          <w:sz w:val="32"/>
          <w:szCs w:val="32"/>
          <w:shd w:val="clear" w:color="auto" w:fill="FFFFFF"/>
        </w:rPr>
        <w:t>期做好信息维护，不断更新和充实栏目内容，确保政务信息公开高效运行认真落实市政府办公室有关政务公开工作的部署要求，制定切实有效的措施，巩固信息公开成果，充分发挥政务公开平台的作用。确保政务公开工作有序开展。</w:t>
      </w:r>
    </w:p>
    <w:p w:rsidR="002266B0" w:rsidRDefault="000531ED">
      <w:pPr>
        <w:pStyle w:val="1"/>
        <w:widowControl w:val="0"/>
        <w:numPr>
          <w:ilvl w:val="0"/>
          <w:numId w:val="1"/>
        </w:numPr>
        <w:shd w:val="clear" w:color="auto" w:fill="FFFFFF"/>
        <w:spacing w:before="0" w:beforeAutospacing="0" w:after="0" w:afterAutospacing="0" w:line="620" w:lineRule="exact"/>
        <w:ind w:firstLine="480"/>
        <w:rPr>
          <w:rFonts w:ascii="仿宋" w:eastAsia="仿宋" w:hAnsi="仿宋"/>
          <w:b/>
          <w:bCs/>
          <w:sz w:val="32"/>
          <w:szCs w:val="32"/>
        </w:rPr>
      </w:pPr>
      <w:r>
        <w:rPr>
          <w:rFonts w:ascii="仿宋" w:eastAsia="仿宋" w:hAnsi="仿宋" w:hint="eastAsia"/>
          <w:b/>
          <w:bCs/>
          <w:sz w:val="32"/>
          <w:szCs w:val="32"/>
        </w:rPr>
        <w:t>其他需要报告的事项</w:t>
      </w:r>
    </w:p>
    <w:p w:rsidR="002266B0" w:rsidRDefault="000531ED">
      <w:pPr>
        <w:pStyle w:val="1"/>
        <w:widowControl w:val="0"/>
        <w:shd w:val="clear" w:color="auto" w:fill="FFFFFF"/>
        <w:spacing w:before="0" w:beforeAutospacing="0" w:after="0" w:afterAutospacing="0" w:line="620" w:lineRule="exact"/>
        <w:ind w:left="48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2266B0" w:rsidRDefault="002266B0">
      <w:pPr>
        <w:spacing w:line="620" w:lineRule="exact"/>
        <w:ind w:firstLine="640"/>
        <w:rPr>
          <w:rFonts w:ascii="仿宋" w:eastAsia="仿宋" w:hAnsi="仿宋" w:cs="Times New Roman"/>
          <w:kern w:val="0"/>
          <w:sz w:val="32"/>
          <w:szCs w:val="32"/>
        </w:rPr>
      </w:pPr>
    </w:p>
    <w:p w:rsidR="002266B0" w:rsidRDefault="002266B0">
      <w:pPr>
        <w:spacing w:line="620" w:lineRule="atLeast"/>
        <w:rPr>
          <w:rFonts w:ascii="宋体" w:hAnsi="宋体" w:cs="Times New Roman"/>
          <w:kern w:val="0"/>
          <w:sz w:val="28"/>
          <w:szCs w:val="28"/>
        </w:rPr>
      </w:pPr>
    </w:p>
    <w:p w:rsidR="002266B0" w:rsidRDefault="002266B0">
      <w:pPr>
        <w:spacing w:line="620" w:lineRule="atLeast"/>
        <w:ind w:firstLine="640"/>
        <w:rPr>
          <w:rFonts w:ascii="宋体" w:hAnsi="宋体" w:cs="Times New Roman"/>
          <w:kern w:val="0"/>
          <w:sz w:val="28"/>
          <w:szCs w:val="28"/>
        </w:rPr>
      </w:pPr>
    </w:p>
    <w:p w:rsidR="002266B0" w:rsidRDefault="002266B0">
      <w:pPr>
        <w:spacing w:line="620" w:lineRule="atLeast"/>
        <w:ind w:firstLine="640"/>
        <w:rPr>
          <w:rFonts w:ascii="宋体" w:hAnsi="宋体" w:cs="Times New Roman"/>
          <w:kern w:val="0"/>
          <w:sz w:val="28"/>
          <w:szCs w:val="28"/>
        </w:rPr>
      </w:pPr>
    </w:p>
    <w:p w:rsidR="002266B0" w:rsidRDefault="000531ED">
      <w:pPr>
        <w:spacing w:line="620" w:lineRule="atLeast"/>
        <w:ind w:firstLine="640"/>
        <w:rPr>
          <w:rFonts w:ascii="Times New Roman" w:hAnsi="Times New Roman" w:cs="Times New Roman"/>
          <w:kern w:val="0"/>
          <w:sz w:val="32"/>
          <w:szCs w:val="32"/>
        </w:rPr>
      </w:pPr>
      <w:r>
        <w:rPr>
          <w:rFonts w:ascii="宋体" w:hAnsi="宋体" w:cs="Times New Roman" w:hint="eastAsia"/>
          <w:color w:val="FFFFFF"/>
          <w:kern w:val="0"/>
          <w:sz w:val="28"/>
          <w:szCs w:val="28"/>
        </w:rPr>
        <w:t>五、存在的主要问题及改进</w:t>
      </w:r>
    </w:p>
    <w:p w:rsidR="002266B0" w:rsidRDefault="002266B0"/>
    <w:sectPr w:rsidR="002266B0" w:rsidSect="002266B0">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1ED" w:rsidRDefault="000531ED" w:rsidP="002266B0">
      <w:r>
        <w:separator/>
      </w:r>
    </w:p>
  </w:endnote>
  <w:endnote w:type="continuationSeparator" w:id="0">
    <w:p w:rsidR="000531ED" w:rsidRDefault="000531ED" w:rsidP="00226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B0" w:rsidRDefault="002266B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B0" w:rsidRDefault="002266B0">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2266B0" w:rsidRDefault="002266B0">
                <w:pPr>
                  <w:pStyle w:val="a3"/>
                </w:pPr>
                <w:r>
                  <w:rPr>
                    <w:rFonts w:hint="eastAsia"/>
                  </w:rPr>
                  <w:fldChar w:fldCharType="begin"/>
                </w:r>
                <w:r w:rsidR="000531ED">
                  <w:rPr>
                    <w:rFonts w:hint="eastAsia"/>
                  </w:rPr>
                  <w:instrText xml:space="preserve"> PAGE  \* MERGEFORMAT </w:instrText>
                </w:r>
                <w:r>
                  <w:rPr>
                    <w:rFonts w:hint="eastAsia"/>
                  </w:rPr>
                  <w:fldChar w:fldCharType="separate"/>
                </w:r>
                <w:r w:rsidR="00A84DD5">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1ED" w:rsidRDefault="000531ED" w:rsidP="002266B0">
      <w:r>
        <w:separator/>
      </w:r>
    </w:p>
  </w:footnote>
  <w:footnote w:type="continuationSeparator" w:id="0">
    <w:p w:rsidR="000531ED" w:rsidRDefault="000531ED" w:rsidP="00226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B0" w:rsidRDefault="002266B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B0" w:rsidRDefault="002266B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B0" w:rsidRDefault="002266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66B0"/>
    <w:rsid w:val="000531ED"/>
    <w:rsid w:val="002266B0"/>
    <w:rsid w:val="00A84D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66B0"/>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266B0"/>
    <w:pPr>
      <w:tabs>
        <w:tab w:val="center" w:pos="4153"/>
        <w:tab w:val="right" w:pos="8306"/>
      </w:tabs>
      <w:snapToGrid w:val="0"/>
      <w:jc w:val="left"/>
    </w:pPr>
    <w:rPr>
      <w:sz w:val="18"/>
      <w:szCs w:val="18"/>
    </w:rPr>
  </w:style>
  <w:style w:type="character" w:customStyle="1" w:styleId="Char">
    <w:name w:val="页脚 Char"/>
    <w:basedOn w:val="a0"/>
    <w:link w:val="a3"/>
    <w:semiHidden/>
    <w:rsid w:val="002266B0"/>
    <w:rPr>
      <w:sz w:val="18"/>
      <w:szCs w:val="18"/>
    </w:rPr>
  </w:style>
  <w:style w:type="paragraph" w:styleId="a4">
    <w:name w:val="header"/>
    <w:basedOn w:val="a"/>
    <w:link w:val="Char0"/>
    <w:rsid w:val="002266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2266B0"/>
    <w:rPr>
      <w:sz w:val="18"/>
      <w:szCs w:val="18"/>
    </w:rPr>
  </w:style>
  <w:style w:type="character" w:styleId="a5">
    <w:name w:val="Strong"/>
    <w:basedOn w:val="a0"/>
    <w:rsid w:val="002266B0"/>
    <w:rPr>
      <w:b/>
      <w:bCs/>
    </w:rPr>
  </w:style>
  <w:style w:type="paragraph" w:customStyle="1" w:styleId="1">
    <w:name w:val="普通(网站)1"/>
    <w:basedOn w:val="a"/>
    <w:rsid w:val="002266B0"/>
    <w:pPr>
      <w:widowControl/>
      <w:spacing w:before="100" w:beforeAutospacing="1" w:after="100" w:afterAutospacing="1"/>
      <w:jc w:val="left"/>
    </w:pPr>
    <w:rPr>
      <w:rFonts w:ascii="宋体" w:hAnsi="宋体"/>
      <w:kern w:val="0"/>
      <w:sz w:val="24"/>
      <w:szCs w:val="24"/>
    </w:rPr>
  </w:style>
  <w:style w:type="paragraph" w:customStyle="1" w:styleId="10">
    <w:name w:val="列出段落1"/>
    <w:basedOn w:val="a"/>
    <w:rsid w:val="002266B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hp</dc:creator>
  <cp:lastModifiedBy>Administrator</cp:lastModifiedBy>
  <cp:revision>2</cp:revision>
  <dcterms:created xsi:type="dcterms:W3CDTF">2021-01-28T06:14:00Z</dcterms:created>
  <dcterms:modified xsi:type="dcterms:W3CDTF">2021-01-28T02:37:00Z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