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/>
        <w:jc w:val="both"/>
        <w:rPr>
          <w:rFonts w:hint="eastAsia" w:ascii="方正公文小标宋" w:hAnsi="方正公文小标宋" w:eastAsia="方正公文小标宋" w:cs="方正公文小标宋"/>
          <w:b w:val="0"/>
          <w:bCs/>
          <w:i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caps w:val="0"/>
          <w:color w:val="000000"/>
          <w:spacing w:val="0"/>
          <w:sz w:val="44"/>
          <w:szCs w:val="44"/>
          <w:lang w:val="en-US" w:eastAsia="zh-CN"/>
        </w:rPr>
        <w:t>西坡镇2021年</w:t>
      </w:r>
      <w:r>
        <w:rPr>
          <w:rFonts w:hint="eastAsia" w:ascii="方正公文小标宋" w:hAnsi="方正公文小标宋" w:eastAsia="方正公文小标宋" w:cs="方正公文小标宋"/>
          <w:b w:val="0"/>
          <w:bCs/>
          <w:i w:val="0"/>
          <w:caps w:val="0"/>
          <w:color w:val="000000"/>
          <w:spacing w:val="0"/>
          <w:sz w:val="44"/>
          <w:szCs w:val="44"/>
        </w:rPr>
        <w:t>政府信息公开工作年度报告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</w:rPr>
        <w:t>一、总体情况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  <w:t>202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1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年，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西坡镇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坚持以习近平新时代中国特色社会主义思想为指导，全面贯彻党的十九大和十九届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历次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全会精神，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全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  <w:t>面梳理应当公开的政府信息，聚焦做好“六稳”工作、落实“六保”任务，以公开促落实、促规范、促服务，促进政府治理现代化，全面推进政府信息公开工作。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</w:rPr>
        <w:t>一是加强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组织</w:t>
      </w: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</w:rPr>
        <w:t>领导。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在镇党委的统一领导下，我镇将政务公开工作纳入重要议事日程，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加强和完善领导机制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，成立政务公开领导小组，由镇长亲自抓，党政办负责具体实施，并对外公布。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  <w:t>努力提升政务公开专业化水平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，加强了对政务信息公开工作的领导，做到领导工作到位、责任落实到人，全镇上下相互协作，全力推进政府信息公开工作。结合实际，将政务公开、政务服务等工作统筹推进，不断探索提升政务公开专业化水平的新途径、新办法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</w:rPr>
        <w:t>二是明确工作责任。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坚持把群众最关心、最需要了解的事项公开作为政务公开的重点，加大推行政务公开的力度。进一步提高政务公开的质量，及时将工作动态、群众办事指南、项目建设等最新信息及其他符合公开原则的信息及时公开，公开重点更加突出。定期开展监督检查，发现问题及时整改。妥善处理好政务公开与保守国家秘密之间的关系，及时回应社会关切，接受群众监督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三是严格工作制度。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全面落实“五公开”工作机制，完善各项信息公开工作相关制度。加快建立公开内容动态扩展和定期审查机制。进一步妥善处理好政务公开和保守国家秘密的关系，兼顾灵活性和原则行，健全公开前保密审查机制。对新进或新调整工作人员进行培训，按照信息公开工作流程办事，确保政府信息公开工作有效开展。</w:t>
      </w:r>
    </w:p>
    <w:p>
      <w:pPr>
        <w:pStyle w:val="4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rightChars="0" w:firstLine="64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/>
          <w:spacing w:val="0"/>
          <w:sz w:val="32"/>
          <w:szCs w:val="32"/>
          <w:lang w:eastAsia="zh-CN"/>
        </w:rPr>
        <w:t>二、主动公开政府信息情况</w:t>
      </w:r>
    </w:p>
    <w:tbl>
      <w:tblPr>
        <w:tblStyle w:val="5"/>
        <w:tblW w:w="974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第二十条第（一）项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 w:bidi="ar"/>
              </w:rPr>
              <w:t>数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第二十条第（五）项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第二十条第（六）项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本年处理决定数量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第二十条第（八）项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本年收费金额（单位：万元）</w:t>
            </w:r>
          </w:p>
        </w:tc>
      </w:tr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9"/>
        <w:gridCol w:w="947"/>
        <w:gridCol w:w="3214"/>
        <w:gridCol w:w="688"/>
        <w:gridCol w:w="688"/>
        <w:gridCol w:w="688"/>
        <w:gridCol w:w="688"/>
        <w:gridCol w:w="688"/>
        <w:gridCol w:w="689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4818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自然人</w:t>
            </w:r>
          </w:p>
        </w:tc>
        <w:tc>
          <w:tcPr>
            <w:tcW w:w="3441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法律服务机构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32"/>
                <w:lang w:val="en-US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eastAsia" w:ascii="Calibri" w:hAnsi="Calibri" w:cs="Calibri"/>
                <w:kern w:val="0"/>
                <w:sz w:val="22"/>
                <w:szCs w:val="22"/>
                <w:lang w:val="en-US" w:eastAsia="zh-CN" w:bidi="ar"/>
              </w:rPr>
              <w:t>0</w:t>
            </w: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三、本年度办理结果</w:t>
            </w: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（二）部分公开</w:t>
            </w:r>
            <w:r>
              <w:rPr>
                <w:rFonts w:hint="eastAsia" w:ascii="楷体" w:hAnsi="楷体" w:eastAsia="楷体" w:cs="楷体"/>
                <w:kern w:val="0"/>
                <w:sz w:val="22"/>
                <w:szCs w:val="22"/>
                <w:lang w:val="en-US" w:eastAsia="zh-CN" w:bidi="ar"/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（三）不予公开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（四）无法提供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（五）不予处理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（六）其他处理</w:t>
            </w: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947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32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9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  <w:tc>
          <w:tcPr>
            <w:tcW w:w="416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0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sz w:val="24"/>
                <w:szCs w:val="3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"/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sz w:val="24"/>
                <w:szCs w:val="32"/>
              </w:rPr>
            </w:pPr>
            <w:r>
              <w:rPr>
                <w:rFonts w:hint="default" w:ascii="Calibri" w:hAnsi="Calibri" w:cs="Calibri" w:eastAsiaTheme="minorEastAsia"/>
                <w:kern w:val="0"/>
                <w:sz w:val="22"/>
                <w:szCs w:val="22"/>
                <w:lang w:val="en-US" w:eastAsia="zh-CN" w:bidi="ar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rPr>
                <w:rFonts w:hint="eastAsia" w:ascii="宋体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</w:rPr>
      </w:pPr>
    </w:p>
    <w:tbl>
      <w:tblPr>
        <w:tblStyle w:val="5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尚未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sz w:val="22"/>
                <w:szCs w:val="28"/>
              </w:rPr>
            </w:pPr>
            <w:r>
              <w:rPr>
                <w:rFonts w:hint="eastAsia" w:ascii="黑体" w:hAnsi="宋体" w:eastAsia="黑体" w:cs="黑体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sz w:val="32"/>
          <w:szCs w:val="32"/>
        </w:rPr>
        <w:t>（一）存在的主要问题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0" w:firstLineChars="200"/>
        <w:jc w:val="both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关于基层政务公开工作，此项工作正处于起步阶段，业务能力、工作经验等方面与上级要求存在一定的差距。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both"/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/>
          <w:bCs w:val="0"/>
          <w:i w:val="0"/>
          <w:caps w:val="0"/>
          <w:color w:val="000000"/>
          <w:spacing w:val="0"/>
          <w:sz w:val="32"/>
          <w:szCs w:val="32"/>
          <w:lang w:eastAsia="zh-CN"/>
        </w:rPr>
        <w:t>（二）整改情况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643" w:firstLineChars="200"/>
        <w:jc w:val="both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一是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在提升政策解决质效上下功夫。加强对政策解读内容的指导把关，切实做到政策解读的实质有效。更多运用群众喜闻乐见的形式，增强解读多样性、针对性，让群众能接受、广知晓、会运用、多受益。</w:t>
      </w:r>
      <w:r>
        <w:rPr>
          <w:rFonts w:hint="eastAsia" w:ascii="方正仿宋_GB2312" w:hAnsi="方正仿宋_GB2312" w:eastAsia="方正仿宋_GB2312" w:cs="方正仿宋_GB2312"/>
          <w:b/>
          <w:bCs w:val="0"/>
          <w:i w:val="0"/>
          <w:caps w:val="0"/>
          <w:color w:val="000000"/>
          <w:spacing w:val="0"/>
          <w:sz w:val="32"/>
          <w:szCs w:val="32"/>
          <w:lang w:val="en-US" w:eastAsia="zh-CN"/>
        </w:rPr>
        <w:t>二是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sz w:val="32"/>
          <w:szCs w:val="32"/>
          <w:lang w:val="en-US" w:eastAsia="zh-CN"/>
        </w:rPr>
        <w:t>在加强政务公开专业化培训上下功夫。进一步做好政务公开业务培训工作，认真学习信息公开方面的政策，把政务公开要求贯穿于日常工作中，在实践中有序锻炼队伍，充实后备力量。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六、其他需要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报告的事项</w:t>
      </w: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无</w:t>
      </w:r>
      <w:bookmarkStart w:id="0" w:name="_GoBack"/>
      <w:bookmarkEnd w:id="0"/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</w:p>
    <w:p>
      <w:pPr>
        <w:ind w:firstLine="640" w:firstLineChars="200"/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</w:t>
      </w: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西坡镇人民政府</w:t>
      </w:r>
    </w:p>
    <w:p>
      <w:pPr>
        <w:ind w:firstLine="640" w:firstLineChars="200"/>
        <w:rPr>
          <w:rFonts w:hint="default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仿宋_GB2312" w:hAnsi="方正仿宋_GB2312" w:eastAsia="方正仿宋_GB2312" w:cs="方正仿宋_GB2312"/>
          <w:b w:val="0"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                   2022年1月23日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E597106-67CB-45EF-97AE-8CABF5F65F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416BC62-5369-4260-855D-2974B67B00FF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5F8A2B09-39E9-4D4E-AC50-F9A4C8DCD5D0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478ED12C-A8DF-440B-A0D5-0168DD0D3775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5" w:fontKey="{F538EFCF-F3F3-492F-802C-0BC99CD1F52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6" w:fontKey="{7C6B71C7-9D99-4D31-8326-643FC052EFD5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7E55C5"/>
    <w:rsid w:val="15793B59"/>
    <w:rsid w:val="18B26621"/>
    <w:rsid w:val="327E55C5"/>
    <w:rsid w:val="37681B3D"/>
    <w:rsid w:val="401B5ECF"/>
    <w:rsid w:val="53A154D9"/>
    <w:rsid w:val="5C4C3FAF"/>
    <w:rsid w:val="5DDC2F19"/>
    <w:rsid w:val="5E7B4F97"/>
    <w:rsid w:val="6266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2022-01-16T08:47:00Z</dcterms:created>
  <dc:creator>JWH</dc:creator>
  <cp:lastModifiedBy>大河</cp:lastModifiedBy>
  <dcterms:modified xsi:type="dcterms:W3CDTF">2022-02-17T09:18:01Z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9DA8B82B4EA948A6A59A4199FC88F72E</vt:lpwstr>
  </property>
</Properties>
</file>