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乡宁县2020年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卫体局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信息公开工作报告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2020年，卫生健康和体育局认真贯彻《条例》精神，严格落实政府信息公开的相关要求，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紧紧围绕县委、县政府中心工作，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坚持“大卫生、大健康”发展理念，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以建设“健康乡宁”为目标，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统筹谋划，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开拓进取，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进一步完善政府信息公开制度，强化信息公开平台建设，为统筹推进常态化疫情防控和服务经济社会发展发挥积极作用。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增加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加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820.61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4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1"/>
        <w:gridCol w:w="571"/>
        <w:gridCol w:w="628"/>
        <w:gridCol w:w="527"/>
        <w:gridCol w:w="571"/>
        <w:gridCol w:w="571"/>
        <w:gridCol w:w="571"/>
        <w:gridCol w:w="590"/>
        <w:gridCol w:w="572"/>
        <w:gridCol w:w="572"/>
        <w:gridCol w:w="572"/>
        <w:gridCol w:w="572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2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8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5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2020年政府信息公开工作存在以下问题：一是公开制度还不够完善，二是精准解读还不够及时等。</w:t>
      </w: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针对以上问题，采取了以下措施予以改进：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一是加强信息公开制度建设。加强政务公开联络员队伍建设，制定本机关政府信息公开工作规程，完善公开审批流程，规范公开申请答复。二是提升政策解读质效。对本单位规范性文件、有关工作年度报告等同步开展图解解读，让人民群众更好地读懂政策、理解政策、享受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无其他需要报告的事项。</w:t>
      </w: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widowControl/>
        <w:spacing w:line="620" w:lineRule="atLeast"/>
        <w:ind w:firstLine="5040" w:firstLineChars="1800"/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 w:firstLine="4160" w:firstLineChars="13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2021年1月28日</w:t>
      </w: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20B9"/>
    <w:rsid w:val="03B31E05"/>
    <w:rsid w:val="094A14C4"/>
    <w:rsid w:val="0B493F50"/>
    <w:rsid w:val="0D990C4D"/>
    <w:rsid w:val="0DB46762"/>
    <w:rsid w:val="1218335D"/>
    <w:rsid w:val="169670B3"/>
    <w:rsid w:val="22B50A21"/>
    <w:rsid w:val="306E7FEA"/>
    <w:rsid w:val="447C217D"/>
    <w:rsid w:val="4E023116"/>
    <w:rsid w:val="56D80133"/>
    <w:rsid w:val="6EED61D3"/>
    <w:rsid w:val="785E5D67"/>
    <w:rsid w:val="7F595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dcterms:modified xsi:type="dcterms:W3CDTF">2021-01-28T07:48:45Z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