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乡宁县水利局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年政府信息公开工作年度报告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43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、总体情况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我局政务公开工作按照县政府的工作要求，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结合本单位实际，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不断拓展公开内容，创新公开形式，完善公开制度，强化公开监督，取得了一定成效，现将工作总结如下：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（一）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加强组织领导，健全工作机制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为了使政务公开工作不流于形式，不走过场，我局把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政务信息公开工作作为一项重要工作来抓，主要领导一手抓，分管领导具体抓，各股室、单位指派专人配合落实政务公开相关工作的工作机制，并指定办公室专人落实。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做到了领导、股室、人员三到位，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始终将政务公开工作和其他业务工作放在同等地位，纳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入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考核内容。严格落实政务信息报送制度，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每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周上报县政府办反映水利系统特色和亮点工作的政务信息1条，每月上报市水利局信息中心政务信息2条。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建立健全各项工作机制，使政务公开走向制度化、规范化的轨道。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（二）聚焦重点领域，深化政务公开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推进水行政监管事项公开。202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年，结合优化营商环境，对所有水行政监管事项在“互联网+监管”平台进行全面公示，营造更加公开透明、规范有序、公平高效的法治环境。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（三）聚焦政策解读，精准回应关切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持续做好主要负责人要履行好“第一解读人”职责，及时回应社会关切，全年未收到反映问题。按时保质完成人大代表建议和政协委员提案办理工作，202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年共办理人大建议4条，提案人对答复均非常满意。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（四）规范依申请公开工作</w:t>
      </w:r>
    </w:p>
    <w:p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针对相关业务处室，常态化开展依申请公开办理培训和指导，提高依申请公开的办理能力和答复效率。要求办理人员强化服务理念，加强与申请人的沟通。规范依申请公开答复合法性审查工作，公开答复意见书需由局法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治室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审核签字后方可公示。202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年我局未收到申请公开事件。未发生因政务公开工作产生的行政复议或行政诉讼事件。</w:t>
      </w:r>
    </w:p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二、主动公开政府信息情况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auto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7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6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8"/>
        <w:gridCol w:w="3214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2"/>
                <w:szCs w:val="22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商业</w:t>
            </w:r>
          </w:p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科研</w:t>
            </w:r>
          </w:p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2"/>
                <w:szCs w:val="22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4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rPr>
                <w:rFonts w:ascii="宋体"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color w:val="auto"/>
                <w:kern w:val="0"/>
                <w:sz w:val="22"/>
                <w:szCs w:val="22"/>
                <w:lang w:bidi="ar"/>
              </w:rPr>
              <w:t> 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auto"/>
          <w:sz w:val="24"/>
        </w:rPr>
      </w:pPr>
    </w:p>
    <w:p>
      <w:pPr>
        <w:widowControl/>
        <w:jc w:val="left"/>
        <w:rPr>
          <w:rFonts w:ascii="黑体" w:hAnsi="黑体" w:eastAsia="黑体" w:cs="黑体"/>
          <w:color w:val="auto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auto"/>
          <w:sz w:val="24"/>
        </w:rPr>
      </w:pPr>
    </w:p>
    <w:tbl>
      <w:tblPr>
        <w:tblStyle w:val="5"/>
        <w:tblW w:w="979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51"/>
        <w:gridCol w:w="651"/>
        <w:gridCol w:w="651"/>
        <w:gridCol w:w="654"/>
        <w:gridCol w:w="651"/>
        <w:gridCol w:w="651"/>
        <w:gridCol w:w="652"/>
        <w:gridCol w:w="652"/>
        <w:gridCol w:w="655"/>
        <w:gridCol w:w="652"/>
        <w:gridCol w:w="652"/>
        <w:gridCol w:w="652"/>
        <w:gridCol w:w="652"/>
        <w:gridCol w:w="651"/>
        <w:gridCol w:w="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2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65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结果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其他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尚未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2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32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48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结果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结果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其他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尚未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结果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结果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其他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尚未</w:t>
            </w:r>
          </w:p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8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 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sz w:val="22"/>
                <w:szCs w:val="28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0</w:t>
            </w:r>
          </w:p>
        </w:tc>
      </w:tr>
    </w:tbl>
    <w:p>
      <w:pPr>
        <w:widowControl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五、存在的主要问题及改进情况</w:t>
      </w:r>
    </w:p>
    <w:p>
      <w:pPr>
        <w:pStyle w:val="7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对标政府信息公开要求，我局在政府信息公开工作中仍存在一些差距和不足。主要表现在：主动公开力度仍需加大，信息公开培训工作还有待加强，公开意识和能力、政策解读质量等有待提高。202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年，我局将紧扣贯彻党的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二十大</w:t>
      </w:r>
      <w:bookmarkStart w:id="0" w:name="_GoBack"/>
      <w:bookmarkEnd w:id="0"/>
      <w:r>
        <w:rPr>
          <w:rFonts w:hint="eastAsia" w:ascii="仿宋_GB2312" w:hAnsi="微软雅黑" w:eastAsia="仿宋_GB2312"/>
          <w:color w:val="auto"/>
          <w:sz w:val="32"/>
          <w:szCs w:val="32"/>
        </w:rPr>
        <w:t>精神和中央、省委、市委决策部署，对照群众期盼、紧扣新时代政务公开要求，围绕省、市、县政府政务公开工作要点，结合本单位实际，从以下几方面做好政务信息公开工作。</w:t>
      </w:r>
    </w:p>
    <w:p>
      <w:pPr>
        <w:pStyle w:val="7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一是加强业务学习。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提高干部职工对政务信息公开工作的认识，加强政务信息公开平台的管理和维护等业务技能培训，增强政务信息公开工作能力。在日常工作中，多请示、多学习、多对接、严格按照政务公开规范，进一步完善局内政务公开机制。</w:t>
      </w:r>
    </w:p>
    <w:p>
      <w:pPr>
        <w:pStyle w:val="7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二是优化政策解读。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建立完善政策解读工作机制，明确解读范围和内容，持续优化解读流程，确保政策文件与解读材料同步起草、同步审签、同步发布。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运用多种方式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，不断提高政策解读质量。</w:t>
      </w:r>
    </w:p>
    <w:p>
      <w:pPr>
        <w:pStyle w:val="7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三是规范信息办理。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按照政府信息办理相关制度和规范，提高信息办理规范性。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六、其他需要报告的事项</w:t>
      </w:r>
    </w:p>
    <w:p>
      <w:pPr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  <w:t>无其他需要报告的事项。</w:t>
      </w:r>
    </w:p>
    <w:p>
      <w:pPr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</w:rPr>
      </w:pPr>
    </w:p>
    <w:p>
      <w:pPr>
        <w:ind w:firstLine="5120" w:firstLineChars="16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327E55C5"/>
    <w:rsid w:val="000A25E2"/>
    <w:rsid w:val="000A7039"/>
    <w:rsid w:val="000C7F82"/>
    <w:rsid w:val="00124A44"/>
    <w:rsid w:val="00125B7E"/>
    <w:rsid w:val="0013545A"/>
    <w:rsid w:val="001A4696"/>
    <w:rsid w:val="001C184A"/>
    <w:rsid w:val="001D656D"/>
    <w:rsid w:val="001D71AA"/>
    <w:rsid w:val="00207922"/>
    <w:rsid w:val="002106AB"/>
    <w:rsid w:val="00220D3D"/>
    <w:rsid w:val="0022204F"/>
    <w:rsid w:val="00223FAD"/>
    <w:rsid w:val="00370140"/>
    <w:rsid w:val="00397863"/>
    <w:rsid w:val="00410A9D"/>
    <w:rsid w:val="00446A1B"/>
    <w:rsid w:val="005046A1"/>
    <w:rsid w:val="00592896"/>
    <w:rsid w:val="005D1FFD"/>
    <w:rsid w:val="00693736"/>
    <w:rsid w:val="006A476F"/>
    <w:rsid w:val="007852C6"/>
    <w:rsid w:val="007D4C72"/>
    <w:rsid w:val="007E44F4"/>
    <w:rsid w:val="007E715C"/>
    <w:rsid w:val="008620F3"/>
    <w:rsid w:val="00875E57"/>
    <w:rsid w:val="008A38F1"/>
    <w:rsid w:val="00A63474"/>
    <w:rsid w:val="00A831E2"/>
    <w:rsid w:val="00BB0DBB"/>
    <w:rsid w:val="00BC5660"/>
    <w:rsid w:val="00C6359F"/>
    <w:rsid w:val="00C85997"/>
    <w:rsid w:val="00D41AE7"/>
    <w:rsid w:val="00D9743B"/>
    <w:rsid w:val="00DD2566"/>
    <w:rsid w:val="00EB610D"/>
    <w:rsid w:val="00F14B44"/>
    <w:rsid w:val="00F15057"/>
    <w:rsid w:val="04077F77"/>
    <w:rsid w:val="0E831F96"/>
    <w:rsid w:val="327E55C5"/>
    <w:rsid w:val="37681B3D"/>
    <w:rsid w:val="401B5ECF"/>
    <w:rsid w:val="53A154D9"/>
    <w:rsid w:val="5C4C3FAF"/>
    <w:rsid w:val="5DDC2F19"/>
    <w:rsid w:val="62663AEF"/>
    <w:rsid w:val="63F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2047</Words>
  <Characters>2089</Characters>
  <Lines>19</Lines>
  <Paragraphs>5</Paragraphs>
  <TotalTime>26</TotalTime>
  <ScaleCrop>false</ScaleCrop>
  <LinksUpToDate>false</LinksUpToDate>
  <CharactersWithSpaces>2280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Administrator</cp:lastModifiedBy>
  <cp:lastPrinted>2022-01-18T01:19:00Z</cp:lastPrinted>
  <dcterms:modified xsi:type="dcterms:W3CDTF">2023-06-05T09:25:23Z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18ED0CD138A745D985B2EC97775F3859</vt:lpwstr>
  </property>
</Properties>
</file>