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乡宁县水利局</w:t>
      </w:r>
    </w:p>
    <w:p>
      <w:pPr>
        <w:pStyle w:val="4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bCs/>
          <w:color w:val="333333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333333"/>
          <w:sz w:val="40"/>
          <w:szCs w:val="40"/>
          <w:shd w:val="clear" w:color="auto" w:fill="FFFFFF"/>
        </w:rPr>
        <w:t>年政府信息公开工作年度报告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黑体"/>
          <w:color w:val="333333"/>
          <w:sz w:val="32"/>
          <w:szCs w:val="32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43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FFFFFF"/>
        </w:rPr>
        <w:t>一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shd w:val="clear" w:color="auto" w:fill="FFFFFF"/>
        </w:rPr>
        <w:t>、总体情况</w:t>
      </w:r>
    </w:p>
    <w:p>
      <w:pPr>
        <w:pStyle w:val="7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年，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我局政务公开工作按照县政府的工作要求，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结合本单位实际，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不断拓展公开内容，创新公开形式，完善公开制度，强化公开监督，取得了一定成效，现将工作总结如下：</w:t>
      </w:r>
    </w:p>
    <w:p>
      <w:pPr>
        <w:pStyle w:val="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hint="eastAsia" w:ascii="黑体" w:hAnsi="黑体" w:eastAsia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（一）</w:t>
      </w: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加强组织领导，健全工作机制</w:t>
      </w:r>
    </w:p>
    <w:p>
      <w:pPr>
        <w:pStyle w:val="7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为了使政务公开工作不流于形式，不走过场，我局把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政务信息公开工作作为一项重要工作来抓，主要领导一手抓，分管领导具体抓，各股室、单位指派专人配合落实政务公开相关工作的工作机制，并指定办公室专人落实。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做到了领导、股室、人员三到位，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始终将政务公开工作和其他业务工作放在同等地位，纳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入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考核内容。严格落实政务信息报送制度，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每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周上报县政府办反映水利系统特色和亮点工作的政务信息1条，每月上报市水利局信息中心政务信息2条。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建立健全各项工作机制，使政务公开走向制度化、规范化的轨道。</w:t>
      </w:r>
    </w:p>
    <w:p>
      <w:pPr>
        <w:pStyle w:val="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（二）聚焦重点领域，深化政务公开</w:t>
      </w:r>
    </w:p>
    <w:p>
      <w:pPr>
        <w:pStyle w:val="7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推进水行政监管事项公开。202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年，结合优化营商环境，对所有水行政监管事项在“互联网+监管”平台进行全面公示，营造更加公开透明、规范有序、公平高效的法治环境。</w:t>
      </w:r>
    </w:p>
    <w:p>
      <w:pPr>
        <w:pStyle w:val="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（三）聚焦政策解读，精准回应关切</w:t>
      </w:r>
    </w:p>
    <w:p>
      <w:pPr>
        <w:pStyle w:val="7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持续做好主要负责人要履行好“第一解读人”职责，及时回应社会关切，全年未收到反映问题。按时保质完成人大代表建议和政协委员提案办理工作，202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年共办理人大建议4条，提案人对答复均非常满意。</w:t>
      </w:r>
    </w:p>
    <w:p>
      <w:pPr>
        <w:pStyle w:val="7"/>
        <w:shd w:val="clear" w:color="auto" w:fill="FFFFFF"/>
        <w:snapToGrid w:val="0"/>
        <w:spacing w:before="0" w:beforeAutospacing="0" w:after="0" w:afterAutospacing="0" w:line="360" w:lineRule="auto"/>
        <w:ind w:firstLine="482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（四）规范依申请公开工作</w:t>
      </w:r>
    </w:p>
    <w:p>
      <w:pPr>
        <w:pStyle w:val="7"/>
        <w:shd w:val="clear" w:color="auto" w:fill="FFFFFF"/>
        <w:snapToGrid w:val="0"/>
        <w:spacing w:before="0" w:beforeAutospacing="0" w:after="0" w:afterAutospacing="0" w:line="360" w:lineRule="auto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针对相关业务处室，常态化开展依申请公开办理培训和指导，提高依申请公开的办理能力和答复效率。要求办理人员强化服务理念，加强与申请人的沟通。规范依申请公开答复合法性审查工作，公开答复意见书需由局法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治室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审核签字后方可公示。202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年我局未收到申请公开事件。未发生因政务公开工作产生的行政复议或行政诉讼事件。</w:t>
      </w: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eastAsia="宋体" w:cs="宋体"/>
          <w:color w:val="auto"/>
        </w:rPr>
      </w:pP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35"/>
        <w:gridCol w:w="27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2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ind w:firstLine="200" w:firstLineChars="10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行政规范性文件</w:t>
            </w:r>
          </w:p>
        </w:tc>
        <w:tc>
          <w:tcPr>
            <w:tcW w:w="2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ascii="Calibri" w:hAnsi="Calibri" w:cs="Calibri"/>
                <w:color w:val="auto"/>
                <w:kern w:val="0"/>
                <w:szCs w:val="21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6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1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76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黑体" w:hAnsi="黑体" w:eastAsia="黑体" w:cs="黑体"/>
          <w:color w:val="auto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bidi="ar"/>
        </w:rPr>
        <w:t>三、收到和处理政府信息公开申请情况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948"/>
        <w:gridCol w:w="3214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2"/>
                <w:szCs w:val="22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商业</w:t>
            </w:r>
          </w:p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科研</w:t>
            </w:r>
          </w:p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2"/>
                <w:szCs w:val="22"/>
                <w:lang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948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color w:val="auto"/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4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rPr>
                <w:rFonts w:ascii="宋体"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color w:val="auto"/>
                <w:kern w:val="0"/>
                <w:sz w:val="22"/>
                <w:szCs w:val="22"/>
                <w:lang w:bidi="ar"/>
              </w:rPr>
              <w:t> 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sz w:val="24"/>
        </w:rPr>
      </w:pPr>
    </w:p>
    <w:p>
      <w:pPr>
        <w:widowControl/>
        <w:jc w:val="left"/>
        <w:rPr>
          <w:rFonts w:ascii="黑体" w:hAnsi="黑体" w:eastAsia="黑体" w:cs="黑体"/>
          <w:color w:val="auto"/>
          <w:kern w:val="0"/>
          <w:sz w:val="32"/>
          <w:szCs w:val="32"/>
          <w:lang w:bidi="ar"/>
        </w:rPr>
      </w:pP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auto"/>
          <w:sz w:val="24"/>
        </w:rPr>
      </w:pPr>
    </w:p>
    <w:tbl>
      <w:tblPr>
        <w:tblStyle w:val="5"/>
        <w:tblW w:w="979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651"/>
        <w:gridCol w:w="651"/>
        <w:gridCol w:w="651"/>
        <w:gridCol w:w="654"/>
        <w:gridCol w:w="651"/>
        <w:gridCol w:w="651"/>
        <w:gridCol w:w="652"/>
        <w:gridCol w:w="652"/>
        <w:gridCol w:w="655"/>
        <w:gridCol w:w="652"/>
        <w:gridCol w:w="652"/>
        <w:gridCol w:w="652"/>
        <w:gridCol w:w="652"/>
        <w:gridCol w:w="651"/>
        <w:gridCol w:w="1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26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行政复议</w:t>
            </w:r>
          </w:p>
        </w:tc>
        <w:tc>
          <w:tcPr>
            <w:tcW w:w="652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其他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尚未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审结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未经复议直接起诉</w:t>
            </w:r>
          </w:p>
        </w:tc>
        <w:tc>
          <w:tcPr>
            <w:tcW w:w="3264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48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 w:val="28"/>
                <w:szCs w:val="28"/>
              </w:rPr>
            </w:pP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维持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纠正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其他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结果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尚未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审结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维持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结果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纠正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其他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结果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尚未</w:t>
            </w:r>
          </w:p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审结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3" w:type="dxa"/>
          <w:trHeight w:val="987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 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auto"/>
                <w:sz w:val="22"/>
                <w:szCs w:val="28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hint="eastAsia" w:ascii="黑体" w:hAnsi="宋体" w:eastAsia="黑体" w:cs="黑体"/>
                <w:color w:val="auto"/>
                <w:kern w:val="0"/>
                <w:szCs w:val="21"/>
                <w:lang w:bidi="ar"/>
              </w:rPr>
              <w:t> 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0</w:t>
            </w:r>
          </w:p>
        </w:tc>
      </w:tr>
    </w:tbl>
    <w:p>
      <w:pPr>
        <w:widowControl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五、存在的主要问题及改进情况</w:t>
      </w:r>
    </w:p>
    <w:p>
      <w:pPr>
        <w:pStyle w:val="7"/>
        <w:shd w:val="clear" w:color="auto" w:fill="FFFFFF"/>
        <w:spacing w:before="150" w:beforeAutospacing="0" w:after="150" w:afterAutospacing="0" w:line="450" w:lineRule="atLeas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</w:rPr>
        <w:t>对标政府信息公开要求，我局在政府信息公开工作中仍存在一些差距和不足。主要表现在：主动公开力度仍需加大，信息公开培训工作还有待加强，公开意识和能力、政策解读质量等有待提高。202</w:t>
      </w:r>
      <w:r>
        <w:rPr>
          <w:rFonts w:hint="eastAsia" w:ascii="仿宋_GB2312" w:hAnsi="微软雅黑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年，我局将紧扣贯彻党的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二十大</w:t>
      </w:r>
      <w:bookmarkStart w:id="0" w:name="_GoBack"/>
      <w:bookmarkEnd w:id="0"/>
      <w:r>
        <w:rPr>
          <w:rFonts w:hint="eastAsia" w:ascii="仿宋_GB2312" w:hAnsi="微软雅黑" w:eastAsia="仿宋_GB2312"/>
          <w:color w:val="auto"/>
          <w:sz w:val="32"/>
          <w:szCs w:val="32"/>
        </w:rPr>
        <w:t>精神和中央、省委、市委决策部署，对照群众期盼、紧扣新时代政务公开要求，围绕省、市、县政府政务公开工作要点，结合本单位实际，从以下几方面做好政务信息公开工作。</w:t>
      </w:r>
    </w:p>
    <w:p>
      <w:pPr>
        <w:pStyle w:val="7"/>
        <w:shd w:val="clear" w:color="auto" w:fill="FFFFFF"/>
        <w:spacing w:before="150" w:beforeAutospacing="0" w:after="150" w:afterAutospacing="0" w:line="450" w:lineRule="atLeas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一是加强业务学习。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提高干部职工对政务信息公开工作的认识，加强政务信息公开平台的管理和维护等业务技能培训，增强政务信息公开工作能力。在日常工作中，多请示、多学习、多对接、严格按照政务公开规范，进一步完善局内政务公开机制。</w:t>
      </w:r>
    </w:p>
    <w:p>
      <w:pPr>
        <w:pStyle w:val="7"/>
        <w:shd w:val="clear" w:color="auto" w:fill="FFFFFF"/>
        <w:spacing w:before="150" w:beforeAutospacing="0" w:after="150" w:afterAutospacing="0" w:line="450" w:lineRule="atLeas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二是优化政策解读。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建立完善政策解读工作机制，明确解读范围和内容，持续优化解读流程，确保政策文件与解读材料同步起草、同步审签、同步发布。</w:t>
      </w:r>
      <w:r>
        <w:rPr>
          <w:rFonts w:hint="eastAsia" w:ascii="仿宋_GB2312" w:hAnsi="微软雅黑" w:eastAsia="仿宋_GB2312"/>
          <w:color w:val="auto"/>
          <w:sz w:val="32"/>
          <w:szCs w:val="32"/>
          <w:lang w:eastAsia="zh-CN"/>
        </w:rPr>
        <w:t>运用多种方式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，不断提高政策解读质量。</w:t>
      </w:r>
    </w:p>
    <w:p>
      <w:pPr>
        <w:pStyle w:val="7"/>
        <w:shd w:val="clear" w:color="auto" w:fill="FFFFFF"/>
        <w:spacing w:before="150" w:beforeAutospacing="0" w:after="150" w:afterAutospacing="0" w:line="450" w:lineRule="atLeast"/>
        <w:ind w:firstLine="640" w:firstLineChars="200"/>
        <w:rPr>
          <w:rFonts w:ascii="仿宋_GB2312" w:hAnsi="微软雅黑" w:eastAsia="仿宋_GB2312"/>
          <w:color w:val="auto"/>
          <w:sz w:val="32"/>
          <w:szCs w:val="32"/>
        </w:rPr>
      </w:pPr>
      <w:r>
        <w:rPr>
          <w:rFonts w:hint="eastAsia" w:ascii="楷体" w:hAnsi="楷体" w:eastAsia="楷体"/>
          <w:color w:val="auto"/>
          <w:sz w:val="32"/>
          <w:szCs w:val="32"/>
        </w:rPr>
        <w:t>三是规范信息办理。</w:t>
      </w:r>
      <w:r>
        <w:rPr>
          <w:rFonts w:hint="eastAsia" w:ascii="仿宋_GB2312" w:hAnsi="微软雅黑" w:eastAsia="仿宋_GB2312"/>
          <w:color w:val="auto"/>
          <w:sz w:val="32"/>
          <w:szCs w:val="32"/>
        </w:rPr>
        <w:t>按照政府信息办理相关制度和规范，提高信息办理规范性。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auto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bidi="ar"/>
        </w:rPr>
        <w:t>六、其他需要报告的事项</w:t>
      </w:r>
    </w:p>
    <w:p>
      <w:pPr>
        <w:ind w:firstLine="640" w:firstLineChars="200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  <w:t>无其他需要报告的事项。</w:t>
      </w:r>
    </w:p>
    <w:p>
      <w:pPr>
        <w:ind w:firstLine="640" w:firstLineChars="200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="仿宋_GB2312" w:hAnsi="微软雅黑" w:eastAsia="仿宋_GB2312"/>
          <w:color w:val="auto"/>
          <w:sz w:val="32"/>
          <w:szCs w:val="32"/>
          <w:shd w:val="clear" w:color="auto" w:fill="FFFFFF"/>
        </w:rPr>
      </w:pPr>
    </w:p>
    <w:p>
      <w:pPr>
        <w:ind w:firstLine="5120" w:firstLineChars="16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2</w:t>
      </w:r>
      <w:r>
        <w:rPr>
          <w:rFonts w:ascii="仿宋_GB2312" w:eastAsia="仿宋_GB2312"/>
          <w:color w:val="auto"/>
          <w:sz w:val="32"/>
          <w:szCs w:val="32"/>
        </w:rPr>
        <w:t>02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年1月1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color w:val="auto"/>
          <w:sz w:val="32"/>
          <w:szCs w:val="32"/>
        </w:rPr>
        <w:t>日</w:t>
      </w: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p>
      <w:pPr>
        <w:rPr>
          <w:rFonts w:ascii="仿宋_GB2312" w:eastAsia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MzllMmRmZjhmYTczNGU2MzQ4M2Y1YjdjYjUxOGMifQ=="/>
  </w:docVars>
  <w:rsids>
    <w:rsidRoot w:val="327E55C5"/>
    <w:rsid w:val="000A25E2"/>
    <w:rsid w:val="000A7039"/>
    <w:rsid w:val="000C7F82"/>
    <w:rsid w:val="00124A44"/>
    <w:rsid w:val="00125B7E"/>
    <w:rsid w:val="0013545A"/>
    <w:rsid w:val="001A4696"/>
    <w:rsid w:val="001C184A"/>
    <w:rsid w:val="001D656D"/>
    <w:rsid w:val="001D71AA"/>
    <w:rsid w:val="00207922"/>
    <w:rsid w:val="002106AB"/>
    <w:rsid w:val="00220D3D"/>
    <w:rsid w:val="0022204F"/>
    <w:rsid w:val="00223FAD"/>
    <w:rsid w:val="00370140"/>
    <w:rsid w:val="00397863"/>
    <w:rsid w:val="00410A9D"/>
    <w:rsid w:val="00446A1B"/>
    <w:rsid w:val="005046A1"/>
    <w:rsid w:val="00592896"/>
    <w:rsid w:val="005D1FFD"/>
    <w:rsid w:val="00693736"/>
    <w:rsid w:val="006A476F"/>
    <w:rsid w:val="007852C6"/>
    <w:rsid w:val="007D4C72"/>
    <w:rsid w:val="007E44F4"/>
    <w:rsid w:val="007E715C"/>
    <w:rsid w:val="008620F3"/>
    <w:rsid w:val="00875E57"/>
    <w:rsid w:val="008A38F1"/>
    <w:rsid w:val="00A63474"/>
    <w:rsid w:val="00A831E2"/>
    <w:rsid w:val="00BB0DBB"/>
    <w:rsid w:val="00BC5660"/>
    <w:rsid w:val="00C6359F"/>
    <w:rsid w:val="00C85997"/>
    <w:rsid w:val="00D41AE7"/>
    <w:rsid w:val="00D9743B"/>
    <w:rsid w:val="00DD2566"/>
    <w:rsid w:val="00EB610D"/>
    <w:rsid w:val="00F14B44"/>
    <w:rsid w:val="00F15057"/>
    <w:rsid w:val="04077F77"/>
    <w:rsid w:val="0E831F96"/>
    <w:rsid w:val="327E55C5"/>
    <w:rsid w:val="37681B3D"/>
    <w:rsid w:val="401B5ECF"/>
    <w:rsid w:val="53A154D9"/>
    <w:rsid w:val="5C4C3FAF"/>
    <w:rsid w:val="5DDC2F19"/>
    <w:rsid w:val="62663AEF"/>
    <w:rsid w:val="63F8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customStyle="1" w:styleId="7">
    <w:name w:val="text-tag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2047</Words>
  <Characters>2089</Characters>
  <Lines>19</Lines>
  <Paragraphs>5</Paragraphs>
  <TotalTime>26</TotalTime>
  <ScaleCrop>false</ScaleCrop>
  <LinksUpToDate>false</LinksUpToDate>
  <CharactersWithSpaces>2280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Administrator</cp:lastModifiedBy>
  <cp:lastPrinted>2022-01-18T01:19:00Z</cp:lastPrinted>
  <dcterms:modified xsi:type="dcterms:W3CDTF">2023-06-05T09:25:23Z</dcterms:modified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18ED0CD138A745D985B2EC97775F3859</vt:lpwstr>
  </property>
</Properties>
</file>