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乡宁县水利局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2021年政府信息公开工作年度报告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、总体情况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2021年，乡宁县水利局围绕贯彻落实《乡宁县人民政府办公室关于做好2021年度政务公开工作的通知》精神，及县政府对政务公开工作的部署，结合本单位实际，从主动公开、政策解读等多方面入手，规范有序推进政务公开工作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（一）强化组织，抓制度建设，规范信息发布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2021年，县水利局将政务信息公开工作作为一项重要工作来抓，主要领导一手抓，分管领导具体抓，各股室、单位指派专人配合落实政务公开相关工作的工作机制，并指定办公室专人落实。始终将政务公开工作和其他业务工作放在同等地位，</w:t>
      </w:r>
      <w:bookmarkStart w:id="0" w:name="_GoBack"/>
      <w:bookmarkEnd w:id="0"/>
      <w:r>
        <w:rPr>
          <w:rFonts w:hint="eastAsia" w:ascii="仿宋_GB2312" w:hAnsi="微软雅黑" w:eastAsia="仿宋_GB2312"/>
          <w:color w:val="3D3D3D"/>
          <w:sz w:val="32"/>
          <w:szCs w:val="32"/>
        </w:rPr>
        <w:t>纳</w:t>
      </w:r>
      <w:r>
        <w:rPr>
          <w:rFonts w:hint="eastAsia" w:ascii="仿宋_GB2312" w:hAnsi="微软雅黑" w:eastAsia="仿宋_GB2312"/>
          <w:color w:val="3D3D3D"/>
          <w:sz w:val="32"/>
          <w:szCs w:val="32"/>
          <w:lang w:val="en-US" w:eastAsia="zh-CN"/>
        </w:rPr>
        <w:t>入</w:t>
      </w:r>
      <w:r>
        <w:rPr>
          <w:rFonts w:hint="eastAsia" w:ascii="仿宋_GB2312" w:hAnsi="微软雅黑" w:eastAsia="仿宋_GB2312"/>
          <w:color w:val="3D3D3D"/>
          <w:sz w:val="32"/>
          <w:szCs w:val="32"/>
        </w:rPr>
        <w:t>考核内容。严格落实政务信息报送制度，第周上报县政府办反映水利系统特色和亮点工作的政务信息1条，每月上报市水利局信息中心政务信息2条。联合县电视台开展专题宣传，制作了防汛新闻专题片、水土保持重点水利工程建设专题片等系列报道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（二）聚焦重点领域，深化政务公开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推进水行政监管事项公开。2021年，结合优化营商环境，对所有水行政监管事项在“互联网+监管”平台进行全面公示，营造更加公开透明、规范有序、公平高效的法治环境。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（三）聚焦政策解读，精准回应关切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持续做好主要负责人要履行好“第一解读人”职责，及时回应社会关切，全年未收到反映问题。按时保质完成人大代表建议和政协委员提案办理工作，2021年共办理人大建议4条和政协提案3个，提案人对答复均非常满意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（四）规范依申请公开工作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针对相关业务处室，常态化开展依申请公开办理培训和指导，提高依申请公开的办理能力和答复效率。要求办理人员强化服务理念，加强与申请人的沟通。规范依申请公开答复合法性审查工作，公开答复意见书需由局法制办审核签字后方可公示。2021年我局未收到申请公开事件。未发生因政务公开工作产生的行政复议或行政诉讼事件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135"/>
        <w:gridCol w:w="27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6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lang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0" w:type="dxa"/>
          <w:right w:w="0" w:type="dxa"/>
        </w:tblCellMar>
      </w:tblPr>
      <w:tblGrid>
        <w:gridCol w:w="770"/>
        <w:gridCol w:w="948"/>
        <w:gridCol w:w="3214"/>
        <w:gridCol w:w="688"/>
        <w:gridCol w:w="688"/>
        <w:gridCol w:w="688"/>
        <w:gridCol w:w="688"/>
        <w:gridCol w:w="688"/>
        <w:gridCol w:w="688"/>
        <w:gridCol w:w="688"/>
      </w:tblGrid>
      <w:tr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申请人情况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总计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商业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科研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trHeight w:val="779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/>
              </w:rPr>
              <w:t> 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/>
        </w:rPr>
      </w:pP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W w:w="979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0" w:type="dxa"/>
          <w:right w:w="0" w:type="dxa"/>
        </w:tblCellMar>
      </w:tblPr>
      <w:tblGrid>
        <w:gridCol w:w="652"/>
        <w:gridCol w:w="652"/>
        <w:gridCol w:w="652"/>
        <w:gridCol w:w="652"/>
        <w:gridCol w:w="656"/>
        <w:gridCol w:w="651"/>
        <w:gridCol w:w="651"/>
        <w:gridCol w:w="651"/>
        <w:gridCol w:w="651"/>
        <w:gridCol w:w="655"/>
        <w:gridCol w:w="651"/>
        <w:gridCol w:w="651"/>
        <w:gridCol w:w="651"/>
        <w:gridCol w:w="651"/>
        <w:gridCol w:w="651"/>
        <w:gridCol w:w="13"/>
      </w:tblGrid>
      <w:tr>
        <w:trPr>
          <w:trHeight w:val="463" w:hRule="atLeast"/>
          <w:jc w:val="center"/>
        </w:trPr>
        <w:tc>
          <w:tcPr>
            <w:tcW w:w="32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行政复议</w:t>
            </w:r>
          </w:p>
        </w:tc>
        <w:tc>
          <w:tcPr>
            <w:tcW w:w="65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行政诉讼</w:t>
            </w:r>
          </w:p>
        </w:tc>
      </w:tr>
      <w:tr>
        <w:trPr>
          <w:trHeight w:val="463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审结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总计</w:t>
            </w:r>
          </w:p>
        </w:tc>
        <w:tc>
          <w:tcPr>
            <w:tcW w:w="32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未经复议直接起诉</w:t>
            </w:r>
          </w:p>
        </w:tc>
        <w:tc>
          <w:tcPr>
            <w:tcW w:w="32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复议后起诉</w:t>
            </w:r>
          </w:p>
        </w:tc>
      </w:tr>
      <w:tr>
        <w:trPr>
          <w:gridAfter w:val="1"/>
          <w:wAfter w:w="13" w:type="dxa"/>
          <w:trHeight w:val="948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维持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br/>
            </w:r>
            <w:r>
              <w:rPr>
                <w:rFonts w:hint="eastAsia" w:ascii="宋体" w:hAnsi="宋体" w:eastAsia="宋体" w:cs="宋体"/>
                <w:kern w:val="0"/>
                <w:szCs w:val="21"/>
                <w:lang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总计</w:t>
            </w:r>
          </w:p>
        </w:tc>
      </w:tr>
      <w:tr>
        <w:trPr>
          <w:gridAfter w:val="1"/>
          <w:wAfter w:w="13" w:type="dxa"/>
          <w:trHeight w:val="987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Cs w:val="21"/>
                <w:lang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0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/>
        </w:rPr>
        <w:t>五、存在的主要问题及改进情况</w:t>
      </w:r>
    </w:p>
    <w:p>
      <w:pPr>
        <w:pStyle w:val="6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对标政府信息公开要求，我局在政府信息公开工作中仍存在一些差距和不足。主要表现在：主动公开力度仍需加大，信息公开培训工作还有待加强，公开意识和能力、政策解读质量等有待提高。2022年，我局将紧扣贯彻党的十九届六中全会精神和中央、省委、市委决策部署，对照群众期盼、紧扣新时代政务公开要求，围绕省、市、县政府政务公开工作要点，结合本单位实际，从以下几方面做好政务信息公开工作。</w:t>
      </w:r>
    </w:p>
    <w:p>
      <w:pPr>
        <w:pStyle w:val="6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一是加强业务学习。</w:t>
      </w:r>
      <w:r>
        <w:rPr>
          <w:rFonts w:hint="eastAsia" w:ascii="仿宋_GB2312" w:hAnsi="微软雅黑" w:eastAsia="仿宋_GB2312"/>
          <w:color w:val="3D3D3D"/>
          <w:sz w:val="32"/>
          <w:szCs w:val="32"/>
        </w:rPr>
        <w:t>提高干部职工对政务信息公开工作的认识，加强政务信息公开平台的管理和维护等业务技能培训，增强政务信息公开工作能力。在日常工作中，多请示、多学习、多对接、严格按照政务公开规范，进一步完善局内政务公开机制。</w:t>
      </w:r>
    </w:p>
    <w:p>
      <w:pPr>
        <w:pStyle w:val="6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二是优化政策解读。</w:t>
      </w:r>
      <w:r>
        <w:rPr>
          <w:rFonts w:hint="eastAsia" w:ascii="仿宋_GB2312" w:hAnsi="微软雅黑" w:eastAsia="仿宋_GB2312"/>
          <w:color w:val="3D3D3D"/>
          <w:sz w:val="32"/>
          <w:szCs w:val="32"/>
        </w:rPr>
        <w:t>建立完善政策解读工作机制，明确解读范围和内容，持续优化解读流程，确保政策文件与解读材料同步起草、同步审签、同步发布。更多运用除图文解读、主要领导带头解读形式以外的如视频音频、卡通动漫等方式，不断提高政策解读质量。</w:t>
      </w:r>
    </w:p>
    <w:p>
      <w:pPr>
        <w:pStyle w:val="6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三是规范信息办理。</w:t>
      </w:r>
      <w:r>
        <w:rPr>
          <w:rFonts w:hint="eastAsia" w:ascii="仿宋_GB2312" w:hAnsi="微软雅黑" w:eastAsia="仿宋_GB2312"/>
          <w:color w:val="3D3D3D"/>
          <w:sz w:val="32"/>
          <w:szCs w:val="32"/>
        </w:rPr>
        <w:t>按照政府信息办理相关制度和规范，提高信息办理规范性。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/>
        </w:rPr>
        <w:t>六、其他需要报告的事项</w:t>
      </w:r>
    </w:p>
    <w:p>
      <w:pPr>
        <w:ind w:firstLine="640" w:firstLineChars="200"/>
        <w:rPr>
          <w:rFonts w:ascii="仿宋_GB2312" w:hAnsi="微软雅黑" w:eastAsia="仿宋_GB2312"/>
          <w:color w:val="3D3D3D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  <w:shd w:val="clear" w:color="auto" w:fill="FFFFFF"/>
        </w:rPr>
        <w:t>无其他需要报告的事项。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年1月1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8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3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paragraph" w:customStyle="1" w:styleId="5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text-tag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4"/>
    <w:link w:val="3"/>
    <w:semiHidden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字符"/>
    <w:basedOn w:val="4"/>
    <w:link w:val="2"/>
    <w:semiHidden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414</Words>
  <Characters>2364</Characters>
  <Lines>19</Lines>
  <Paragraphs>5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2022-01-16T16:47:00Z</dcterms:created>
  <dc:creator>JWH</dc:creator>
  <cp:lastPrinted>2022-01-18T09:19:00Z</cp:lastPrinted>
  <dcterms:modified xsi:type="dcterms:W3CDTF">2022-01-27T08:16:30Z</dcterms:modified>
  <dc:title>xnsl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