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教育科技局2021年</w:t>
      </w:r>
      <w:r>
        <w:rPr>
          <w:rFonts w:hint="eastAsia" w:ascii="黑体" w:hAnsi="黑体" w:eastAsia="黑体" w:cs="黑体"/>
          <w:sz w:val="44"/>
          <w:szCs w:val="44"/>
        </w:rPr>
        <w:t>政府信息公开工作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</w:rPr>
        <w:t>年度报告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政务公开的基本原则，除涉及党和国家的机密外，我局均将各类信息依规定进行真实、客观、可信地公开，接受群众监督。因工作需要进行变更的，我局均进行报告，经上级部门同意后方予以修订，确保重要信息不遗漏、零失误。一年来，我局及时以规范性文件、通知和信息等形式将教育系统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年度工作要点、重大决策部署、活动方案与进展情况以及结果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通报，促进信息公开工作扎实有效开展。政府信息公开申请行政复议为0宗、提起行政诉讼为0宗。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24.1520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2021年，县教科局政务公开工作虽然取得了一定成效，但对照上级要求，还存在一些问题和不足，主要体现在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的内容和形式上，有待进一步完善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，我们将继续严格落实县政府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对政务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信息公开工作的要求，在增强工作实效方面下功夫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，主动、及时、准确做好信息上报和发布。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（一）进一步健全信息公开制度。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完善信息公开工作与全局工作同谋划、同推进、同考核，及时发现和解决信息公开工作中存在的问题，严格落实责任追究。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（二）进一步提高信息公开范围。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积极做好重点教育政策、重点教育工程和重点教育工作的公开，方便公众及时准确获得教育信息，争取社会对教育工作的理解支持和积极参与。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（三）进一步拓展信息公开内容。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提高对信息公开政策的解读能力，丰富形式，提高质量，特别要围绕群众关切的教育热点、难点问题，及时给予解读，做好回应，并不断改进，力争在教育关键领域和薄弱环节取得新突破。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/>
    <w:p/>
    <w:p/>
    <w:p/>
    <w:p/>
    <w:p/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2022年1月23日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A2C08D2"/>
    <w:rsid w:val="195C447D"/>
    <w:rsid w:val="1B576171"/>
    <w:rsid w:val="2A6A108F"/>
    <w:rsid w:val="327E55C5"/>
    <w:rsid w:val="37681B3D"/>
    <w:rsid w:val="401B5ECF"/>
    <w:rsid w:val="53A154D9"/>
    <w:rsid w:val="55111CB2"/>
    <w:rsid w:val="5C4C3FAF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JWH</cp:lastModifiedBy>
  <cp:lastPrinted>2022-01-25T09:37:00Z</cp:lastPrinted>
  <dcterms:modified xsi:type="dcterms:W3CDTF">2022-02-23T13:20:34Z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959EAAB0C8644E84AEC5E941EE17056F</vt:lpwstr>
  </property>
</Properties>
</file>