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Autospacing="0" w:line="600" w:lineRule="exact"/>
        <w:ind w:left="0" w:left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rPr>
        <w:t>乡宁县</w:t>
      </w:r>
      <w:r>
        <w:rPr>
          <w:rFonts w:hint="eastAsia" w:ascii="方正小标宋简体" w:hAnsi="方正小标宋简体" w:eastAsia="方正小标宋简体" w:cs="方正小标宋简体"/>
          <w:kern w:val="0"/>
          <w:sz w:val="44"/>
          <w:szCs w:val="44"/>
          <w:lang w:val="en-US" w:eastAsia="zh-CN"/>
        </w:rPr>
        <w:t>财政局</w:t>
      </w:r>
    </w:p>
    <w:p>
      <w:pPr>
        <w:keepNext w:val="0"/>
        <w:keepLines w:val="0"/>
        <w:pageBreakBefore w:val="0"/>
        <w:widowControl/>
        <w:kinsoku/>
        <w:wordWrap/>
        <w:overflowPunct/>
        <w:topLinePunct w:val="0"/>
        <w:autoSpaceDE/>
        <w:autoSpaceDN/>
        <w:bidi w:val="0"/>
        <w:adjustRightInd w:val="0"/>
        <w:snapToGrid/>
        <w:spacing w:beforeAutospacing="0" w:line="600" w:lineRule="exact"/>
        <w:ind w:left="0" w:leftChars="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2020年</w:t>
      </w:r>
      <w:r>
        <w:rPr>
          <w:rFonts w:hint="eastAsia" w:ascii="方正小标宋简体" w:hAnsi="方正小标宋简体" w:eastAsia="方正小标宋简体" w:cs="方正小标宋简体"/>
          <w:kern w:val="0"/>
          <w:sz w:val="44"/>
          <w:szCs w:val="44"/>
          <w:lang w:val="en-US" w:eastAsia="zh-CN"/>
        </w:rPr>
        <w:t>政府</w:t>
      </w:r>
      <w:r>
        <w:rPr>
          <w:rFonts w:hint="eastAsia" w:ascii="方正小标宋简体" w:hAnsi="方正小标宋简体" w:eastAsia="方正小标宋简体" w:cs="方正小标宋简体"/>
          <w:kern w:val="0"/>
          <w:sz w:val="44"/>
          <w:szCs w:val="44"/>
        </w:rPr>
        <w:t>信息公开工作</w:t>
      </w:r>
      <w:r>
        <w:rPr>
          <w:rFonts w:hint="eastAsia" w:ascii="方正小标宋简体" w:hAnsi="方正小标宋简体" w:eastAsia="方正小标宋简体" w:cs="方正小标宋简体"/>
          <w:kern w:val="0"/>
          <w:sz w:val="44"/>
          <w:szCs w:val="44"/>
          <w:lang w:val="en-US" w:eastAsia="zh-CN"/>
        </w:rPr>
        <w:t>年度</w:t>
      </w:r>
      <w:r>
        <w:rPr>
          <w:rFonts w:hint="eastAsia" w:ascii="方正小标宋简体" w:hAnsi="方正小标宋简体" w:eastAsia="方正小标宋简体" w:cs="方正小标宋简体"/>
          <w:kern w:val="0"/>
          <w:sz w:val="44"/>
          <w:szCs w:val="44"/>
        </w:rPr>
        <w:t>报告</w:t>
      </w:r>
    </w:p>
    <w:p>
      <w:pPr>
        <w:keepNext w:val="0"/>
        <w:keepLines w:val="0"/>
        <w:pageBreakBefore w:val="0"/>
        <w:widowControl/>
        <w:kinsoku/>
        <w:wordWrap/>
        <w:overflowPunct/>
        <w:topLinePunct w:val="0"/>
        <w:autoSpaceDE/>
        <w:autoSpaceDN/>
        <w:bidi w:val="0"/>
        <w:adjustRightInd w:val="0"/>
        <w:snapToGrid/>
        <w:spacing w:beforeAutospacing="0" w:line="600" w:lineRule="exact"/>
        <w:ind w:left="0" w:leftChars="0"/>
        <w:jc w:val="center"/>
        <w:textAlignment w:val="auto"/>
        <w:rPr>
          <w:rFonts w:hint="eastAsia" w:ascii="方正小标宋简体" w:hAnsi="方正小标宋简体" w:eastAsia="方正小标宋简体" w:cs="方正小标宋简体"/>
          <w:kern w:val="0"/>
          <w:sz w:val="44"/>
          <w:szCs w:val="44"/>
        </w:rPr>
      </w:pP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spacing w:beforeAutospacing="0" w:line="600" w:lineRule="exact"/>
        <w:ind w:left="0" w:leftChars="0" w:firstLine="643"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总体情况</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line="600" w:lineRule="exact"/>
        <w:ind w:left="0" w:lef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2020年，我局严格落实《中华人民共和国政府信息公开条例》和县政府信息公开要求，积极主动公开政务信息，回应群众关切。收费方面公开了“三个清单”，即：《2020年乡宁县行政事业性收费目录清单》《2020年乡宁县涉企行政事业性收费项目目录》《2020年乡宁县政府性基金项目目录清单》；脱贫攻坚方面公开了《乡宁县2020年脱贫成效巩固提升项目》、《乡宁县财政局2020年专项扶贫资金支出情况公示》、《乡宁县2020年统筹整合使用财政涉农资金调整方案》；预决算方面公开了乡宁县2019年预算执行情况和2020年财政预算（草案）报告、人代会批复的2019年财政决算、财政预决算领域基层政务公开标准目录等内容，财政拨款收支细化公开至项级科目，一般公共预算基本支出细化公开至款级科目，公开率达100%，提高了预决算信息透明度，切实保障人民群众和社会各界的知情权、参与权和监督权。</w:t>
      </w:r>
    </w:p>
    <w:p>
      <w:pPr>
        <w:keepNext w:val="0"/>
        <w:keepLines w:val="0"/>
        <w:pageBreakBefore w:val="0"/>
        <w:widowControl/>
        <w:shd w:val="clear" w:color="auto" w:fill="FFFFFF"/>
        <w:kinsoku/>
        <w:wordWrap/>
        <w:overflowPunct/>
        <w:topLinePunct w:val="0"/>
        <w:autoSpaceDE/>
        <w:autoSpaceDN/>
        <w:bidi w:val="0"/>
        <w:adjustRightInd w:val="0"/>
        <w:snapToGrid/>
        <w:spacing w:beforeAutospacing="0" w:line="440" w:lineRule="exact"/>
        <w:ind w:left="0" w:leftChars="0" w:firstLine="643" w:firstLineChars="200"/>
        <w:jc w:val="left"/>
        <w:textAlignment w:val="auto"/>
        <w:rPr>
          <w:rFonts w:ascii="黑体" w:hAnsi="黑体" w:eastAsia="黑体" w:cs="宋体"/>
          <w:kern w:val="0"/>
          <w:sz w:val="32"/>
          <w:szCs w:val="32"/>
        </w:rPr>
      </w:pPr>
      <w:r>
        <w:rPr>
          <w:rFonts w:hint="eastAsia" w:ascii="黑体" w:hAnsi="黑体" w:eastAsia="黑体" w:cs="宋体"/>
          <w:b/>
          <w:bCs/>
          <w:kern w:val="0"/>
          <w:sz w:val="32"/>
          <w:szCs w:val="32"/>
        </w:rPr>
        <w:t>二、主动公开政府信息情况</w:t>
      </w:r>
    </w:p>
    <w:tbl>
      <w:tblPr>
        <w:tblStyle w:val="4"/>
        <w:tblW w:w="8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06"/>
        <w:gridCol w:w="2494"/>
        <w:gridCol w:w="1534"/>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single" w:color="000000" w:sz="8" w:space="0"/>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type="textWrapping"/>
            </w:r>
            <w:r>
              <w:rPr>
                <w:rFonts w:hint="eastAsia" w:ascii="宋体" w:hAnsi="宋体" w:cs="宋体"/>
                <w:kern w:val="0"/>
                <w:sz w:val="24"/>
                <w:szCs w:val="24"/>
              </w:rPr>
              <w:t>制作数量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本年新</w:t>
            </w:r>
            <w:r>
              <w:rPr>
                <w:rFonts w:hint="eastAsia" w:ascii="宋体" w:hAnsi="宋体" w:cs="宋体"/>
                <w:kern w:val="0"/>
                <w:sz w:val="24"/>
                <w:szCs w:val="24"/>
              </w:rPr>
              <w:br w:type="textWrapping"/>
            </w:r>
            <w:r>
              <w:rPr>
                <w:rFonts w:hint="eastAsia" w:ascii="宋体" w:hAnsi="宋体" w:cs="宋体"/>
                <w:kern w:val="0"/>
                <w:sz w:val="24"/>
                <w:szCs w:val="24"/>
              </w:rPr>
              <w:t>公开数量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规章</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规范性文件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行政许可</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其他对外管理服务事项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上一年项目数量</w:t>
            </w:r>
          </w:p>
        </w:tc>
        <w:tc>
          <w:tcPr>
            <w:tcW w:w="153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本年增/减</w:t>
            </w:r>
          </w:p>
        </w:tc>
        <w:tc>
          <w:tcPr>
            <w:tcW w:w="1938"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行政处罚</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行政强制</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53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193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上一年项目数量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行政事业性收费</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32</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8972" w:type="dxa"/>
            <w:gridSpan w:val="4"/>
            <w:tcBorders>
              <w:top w:val="nil"/>
              <w:left w:val="single" w:color="000000" w:sz="8" w:space="0"/>
              <w:bottom w:val="single" w:color="000000" w:sz="8" w:space="0"/>
              <w:right w:val="single" w:color="000000" w:sz="8" w:space="0"/>
            </w:tcBorders>
            <w:shd w:val="clear" w:color="auto" w:fill="C6D9F1"/>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信息内容</w:t>
            </w:r>
          </w:p>
        </w:tc>
        <w:tc>
          <w:tcPr>
            <w:tcW w:w="249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采购项目数量</w:t>
            </w:r>
          </w:p>
        </w:tc>
        <w:tc>
          <w:tcPr>
            <w:tcW w:w="3472" w:type="dxa"/>
            <w:gridSpan w:val="2"/>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3006"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政府集中采购</w:t>
            </w:r>
          </w:p>
        </w:tc>
        <w:tc>
          <w:tcPr>
            <w:tcW w:w="249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w:t>
            </w:r>
          </w:p>
        </w:tc>
        <w:tc>
          <w:tcPr>
            <w:tcW w:w="3472"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lang w:val="en-US" w:eastAsia="zh-CN"/>
              </w:rPr>
              <w:t>181.7</w:t>
            </w:r>
            <w:r>
              <w:rPr>
                <w:rFonts w:hint="eastAsia" w:ascii="宋体" w:hAnsi="宋体" w:cs="宋体"/>
                <w:kern w:val="0"/>
                <w:sz w:val="24"/>
                <w:szCs w:val="24"/>
              </w:rPr>
              <w:t>万元</w:t>
            </w:r>
          </w:p>
        </w:tc>
      </w:tr>
    </w:tbl>
    <w:p>
      <w:pPr>
        <w:keepNext w:val="0"/>
        <w:keepLines w:val="0"/>
        <w:pageBreakBefore w:val="0"/>
        <w:widowControl/>
        <w:shd w:val="clear" w:color="auto" w:fill="FFFFFF"/>
        <w:kinsoku/>
        <w:wordWrap w:val="0"/>
        <w:overflowPunct/>
        <w:topLinePunct w:val="0"/>
        <w:autoSpaceDE/>
        <w:autoSpaceDN/>
        <w:bidi w:val="0"/>
        <w:snapToGrid/>
        <w:spacing w:before="100" w:beforeAutospacing="1" w:line="440" w:lineRule="exact"/>
        <w:jc w:val="left"/>
        <w:textAlignment w:val="auto"/>
        <w:rPr>
          <w:rFonts w:ascii="黑体" w:hAnsi="黑体" w:eastAsia="黑体" w:cs="宋体"/>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三、收到和处理政府信息公开申请情况</w:t>
      </w:r>
    </w:p>
    <w:tbl>
      <w:tblPr>
        <w:tblStyle w:val="4"/>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6"/>
        <w:gridCol w:w="983"/>
        <w:gridCol w:w="1685"/>
        <w:gridCol w:w="743"/>
        <w:gridCol w:w="689"/>
        <w:gridCol w:w="688"/>
        <w:gridCol w:w="743"/>
        <w:gridCol w:w="897"/>
        <w:gridCol w:w="672"/>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3424" w:type="dxa"/>
            <w:gridSpan w:val="3"/>
            <w:vMerge w:val="restart"/>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（本列数据的勾稽关系为：第一项加第二项之和，等于第三项加第四项之和）</w:t>
            </w:r>
          </w:p>
        </w:tc>
        <w:tc>
          <w:tcPr>
            <w:tcW w:w="5076" w:type="dxa"/>
            <w:gridSpan w:val="7"/>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3424" w:type="dxa"/>
            <w:gridSpan w:val="3"/>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74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自然人</w:t>
            </w:r>
          </w:p>
        </w:tc>
        <w:tc>
          <w:tcPr>
            <w:tcW w:w="3689"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法人或其他组织</w:t>
            </w:r>
          </w:p>
        </w:tc>
        <w:tc>
          <w:tcPr>
            <w:tcW w:w="644"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6" w:hRule="atLeast"/>
        </w:trPr>
        <w:tc>
          <w:tcPr>
            <w:tcW w:w="3424" w:type="dxa"/>
            <w:gridSpan w:val="3"/>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74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商业企业</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科研机构</w:t>
            </w:r>
          </w:p>
        </w:tc>
        <w:tc>
          <w:tcPr>
            <w:tcW w:w="74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社会公益组织</w:t>
            </w:r>
          </w:p>
        </w:tc>
        <w:tc>
          <w:tcPr>
            <w:tcW w:w="897"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法律服务机构</w:t>
            </w:r>
          </w:p>
        </w:tc>
        <w:tc>
          <w:tcPr>
            <w:tcW w:w="672"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其他</w:t>
            </w:r>
          </w:p>
        </w:tc>
        <w:tc>
          <w:tcPr>
            <w:tcW w:w="644"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一、本年新收政府信息公开申请数量</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二、上年结转政府信息公开申请数量</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rPr>
        <w:tc>
          <w:tcPr>
            <w:tcW w:w="756"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三、本年度办理结果</w:t>
            </w: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（一）予以公开</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textAlignment w:val="auto"/>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4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（二）部分公开（区分处理的，只计这一情形，不计其他情形）</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（三）不予公开</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1.属于国家秘密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4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2.其他法律行政法规禁止公开</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3.危及“三安全一稳定”</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4.保护第三方合法权益</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5.属于三类内部事务信息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6.属于四类过程性信息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7.属于行政执法案卷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8.属于行政查询事项</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（四）无法提供</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1.本机关不掌握相关政府信息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2.没有现成信息需要另行制作</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3.补正后申请内容仍不明确</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（五）不予处理</w:t>
            </w: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1.信访举报投诉类申请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2.重复申请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3.要求提供公开出版物</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4.无正当理由大量反复申请</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983"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1685"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5.要求行政机关确认或重新出具已获取信息</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（六）其他处理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trPr>
        <w:tc>
          <w:tcPr>
            <w:tcW w:w="756"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2668" w:type="dxa"/>
            <w:gridSpan w:val="2"/>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（七）总计</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3424" w:type="dxa"/>
            <w:gridSpan w:val="3"/>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left"/>
              <w:textAlignment w:val="auto"/>
              <w:rPr>
                <w:rFonts w:ascii="宋体" w:hAnsi="宋体" w:cs="宋体"/>
                <w:kern w:val="0"/>
                <w:sz w:val="24"/>
                <w:szCs w:val="24"/>
              </w:rPr>
            </w:pPr>
            <w:r>
              <w:rPr>
                <w:rFonts w:hint="eastAsia" w:ascii="宋体" w:hAnsi="宋体" w:cs="宋体"/>
                <w:kern w:val="0"/>
                <w:sz w:val="24"/>
                <w:szCs w:val="24"/>
              </w:rPr>
              <w:t>四、结转下年度继续办理</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9"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88"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74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89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 </w:t>
            </w:r>
          </w:p>
        </w:tc>
        <w:tc>
          <w:tcPr>
            <w:tcW w:w="67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4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bl>
    <w:p>
      <w:pPr>
        <w:keepNext w:val="0"/>
        <w:keepLines w:val="0"/>
        <w:pageBreakBefore w:val="0"/>
        <w:widowControl/>
        <w:shd w:val="clear" w:color="auto" w:fill="FFFFFF"/>
        <w:kinsoku/>
        <w:wordWrap w:val="0"/>
        <w:overflowPunct/>
        <w:topLinePunct w:val="0"/>
        <w:autoSpaceDE/>
        <w:autoSpaceDN/>
        <w:bidi w:val="0"/>
        <w:snapToGrid/>
        <w:spacing w:before="100" w:beforeAutospacing="1" w:line="440" w:lineRule="exact"/>
        <w:jc w:val="left"/>
        <w:textAlignment w:val="auto"/>
        <w:rPr>
          <w:rFonts w:ascii="黑体" w:hAnsi="黑体" w:eastAsia="黑体" w:cs="宋体"/>
          <w:kern w:val="0"/>
          <w:sz w:val="32"/>
          <w:szCs w:val="32"/>
        </w:rPr>
      </w:pPr>
      <w:r>
        <w:rPr>
          <w:rFonts w:hint="eastAsia" w:ascii="微软雅黑" w:hAnsi="微软雅黑" w:eastAsia="微软雅黑" w:cs="宋体"/>
          <w:b/>
          <w:bCs/>
          <w:kern w:val="0"/>
          <w:sz w:val="24"/>
          <w:szCs w:val="24"/>
        </w:rPr>
        <w:t>　</w:t>
      </w:r>
      <w:r>
        <w:rPr>
          <w:rFonts w:hint="eastAsia" w:ascii="黑体" w:hAnsi="黑体" w:eastAsia="黑体" w:cs="宋体"/>
          <w:b/>
          <w:bCs/>
          <w:kern w:val="0"/>
          <w:sz w:val="32"/>
          <w:szCs w:val="32"/>
        </w:rPr>
        <w:t>　四、政府信息公开行政复议、行政诉讼情况</w:t>
      </w:r>
    </w:p>
    <w:tbl>
      <w:tblPr>
        <w:tblStyle w:val="4"/>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2"/>
        <w:gridCol w:w="602"/>
        <w:gridCol w:w="603"/>
        <w:gridCol w:w="603"/>
        <w:gridCol w:w="661"/>
        <w:gridCol w:w="557"/>
        <w:gridCol w:w="603"/>
        <w:gridCol w:w="603"/>
        <w:gridCol w:w="603"/>
        <w:gridCol w:w="621"/>
        <w:gridCol w:w="604"/>
        <w:gridCol w:w="604"/>
        <w:gridCol w:w="604"/>
        <w:gridCol w:w="604"/>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071" w:type="dxa"/>
            <w:gridSpan w:val="5"/>
            <w:tcBorders>
              <w:top w:val="single" w:color="000000" w:sz="8" w:space="0"/>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行政复议</w:t>
            </w:r>
          </w:p>
        </w:tc>
        <w:tc>
          <w:tcPr>
            <w:tcW w:w="6004" w:type="dxa"/>
            <w:gridSpan w:val="10"/>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vMerge w:val="restart"/>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结果维持</w:t>
            </w:r>
          </w:p>
        </w:tc>
        <w:tc>
          <w:tcPr>
            <w:tcW w:w="602" w:type="dxa"/>
            <w:vMerge w:val="restart"/>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结果纠正</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其他结果</w:t>
            </w:r>
          </w:p>
        </w:tc>
        <w:tc>
          <w:tcPr>
            <w:tcW w:w="603"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尚未审结</w:t>
            </w:r>
          </w:p>
        </w:tc>
        <w:tc>
          <w:tcPr>
            <w:tcW w:w="661" w:type="dxa"/>
            <w:vMerge w:val="restart"/>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总计</w:t>
            </w:r>
          </w:p>
        </w:tc>
        <w:tc>
          <w:tcPr>
            <w:tcW w:w="298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未经复议直接起诉</w:t>
            </w:r>
          </w:p>
        </w:tc>
        <w:tc>
          <w:tcPr>
            <w:tcW w:w="3017" w:type="dxa"/>
            <w:gridSpan w:val="5"/>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vMerge w:val="continue"/>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602" w:type="dxa"/>
            <w:vMerge w:val="continue"/>
            <w:tcBorders>
              <w:top w:val="nil"/>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603"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661" w:type="dxa"/>
            <w:vMerge w:val="continue"/>
            <w:tcBorders>
              <w:top w:val="single" w:color="000000" w:sz="8" w:space="0"/>
              <w:left w:val="nil"/>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napToGrid/>
              <w:spacing w:line="440" w:lineRule="exact"/>
              <w:jc w:val="left"/>
              <w:textAlignment w:val="auto"/>
              <w:rPr>
                <w:rFonts w:ascii="宋体" w:hAnsi="宋体" w:cs="宋体"/>
                <w:kern w:val="0"/>
                <w:sz w:val="24"/>
                <w:szCs w:val="24"/>
              </w:rPr>
            </w:pP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结果维持</w:t>
            </w: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结果纠正</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其他结果</w:t>
            </w:r>
          </w:p>
        </w:tc>
        <w:tc>
          <w:tcPr>
            <w:tcW w:w="603"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尚未审结</w:t>
            </w:r>
          </w:p>
        </w:tc>
        <w:tc>
          <w:tcPr>
            <w:tcW w:w="62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总计</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结果维持</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结果纠正</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其他结果</w:t>
            </w:r>
          </w:p>
        </w:tc>
        <w:tc>
          <w:tcPr>
            <w:tcW w:w="604"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尚未审结</w:t>
            </w:r>
          </w:p>
        </w:tc>
        <w:tc>
          <w:tcPr>
            <w:tcW w:w="601"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02" w:type="dxa"/>
            <w:tcBorders>
              <w:top w:val="nil"/>
              <w:left w:val="single" w:color="000000" w:sz="8" w:space="0"/>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2"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6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55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3"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c>
          <w:tcPr>
            <w:tcW w:w="62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4"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p>
        </w:tc>
        <w:tc>
          <w:tcPr>
            <w:tcW w:w="601"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snapToGrid/>
              <w:spacing w:line="440" w:lineRule="exact"/>
              <w:jc w:val="center"/>
              <w:textAlignment w:val="auto"/>
              <w:rPr>
                <w:rFonts w:ascii="宋体" w:hAnsi="宋体" w:cs="宋体"/>
                <w:kern w:val="0"/>
                <w:sz w:val="24"/>
                <w:szCs w:val="24"/>
              </w:rPr>
            </w:pPr>
            <w:r>
              <w:rPr>
                <w:rFonts w:hint="eastAsia" w:ascii="宋体" w:hAnsi="宋体" w:cs="宋体"/>
                <w:kern w:val="0"/>
                <w:sz w:val="24"/>
                <w:szCs w:val="24"/>
              </w:rPr>
              <w:t>0</w:t>
            </w:r>
          </w:p>
        </w:tc>
      </w:tr>
    </w:tbl>
    <w:p>
      <w:pPr>
        <w:keepNext w:val="0"/>
        <w:keepLines w:val="0"/>
        <w:pageBreakBefore w:val="0"/>
        <w:widowControl/>
        <w:numPr>
          <w:ilvl w:val="0"/>
          <w:numId w:val="2"/>
        </w:numPr>
        <w:shd w:val="clear" w:color="auto" w:fill="FFFFFF"/>
        <w:kinsoku/>
        <w:wordWrap w:val="0"/>
        <w:overflowPunct/>
        <w:topLinePunct w:val="0"/>
        <w:autoSpaceDE/>
        <w:autoSpaceDN/>
        <w:bidi w:val="0"/>
        <w:adjustRightInd/>
        <w:snapToGrid/>
        <w:spacing w:before="100" w:beforeAutospacing="1" w:after="150" w:line="440" w:lineRule="exact"/>
        <w:ind w:firstLine="643" w:firstLineChars="200"/>
        <w:jc w:val="left"/>
        <w:textAlignment w:val="auto"/>
        <w:rPr>
          <w:rFonts w:hint="eastAsia" w:ascii="黑体" w:hAnsi="黑体" w:eastAsia="黑体" w:cs="宋体"/>
          <w:b/>
          <w:bCs/>
          <w:kern w:val="0"/>
          <w:sz w:val="32"/>
          <w:szCs w:val="32"/>
        </w:rPr>
      </w:pPr>
      <w:r>
        <w:rPr>
          <w:rFonts w:hint="eastAsia" w:ascii="黑体" w:hAnsi="黑体" w:eastAsia="黑体" w:cs="宋体"/>
          <w:b/>
          <w:bCs/>
          <w:kern w:val="0"/>
          <w:sz w:val="32"/>
          <w:szCs w:val="32"/>
        </w:rPr>
        <w:t>存在的主要问题及改进情况</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line="600" w:lineRule="exact"/>
        <w:ind w:firstLine="640" w:firstLineChars="200"/>
        <w:jc w:val="left"/>
        <w:textAlignment w:val="auto"/>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2020年，县财政部门预决算公开严格按照上级文件、规定执行，虽然我们做了大量的工作，但是与上级部门的要求还有一些差距，如：工作机制不够健全，下一步我们将采取措施，认真加以解决：</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（一）细化公开内容，统一公开格式。</w:t>
      </w:r>
      <w:r>
        <w:rPr>
          <w:rFonts w:hint="eastAsia" w:ascii="仿宋_GB2312" w:hAnsi="仿宋_GB2312" w:eastAsia="仿宋_GB2312" w:cs="仿宋_GB2312"/>
          <w:b w:val="0"/>
          <w:bCs w:val="0"/>
          <w:kern w:val="0"/>
          <w:sz w:val="32"/>
          <w:szCs w:val="32"/>
          <w:lang w:eastAsia="zh-CN"/>
        </w:rPr>
        <w:t>为扎实做好预决算公开工作，我局将进一步完善工作机制，统一预决算信息公开的表格、口径和内容。</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（二）明确责任分工，实时督促落实。</w:t>
      </w:r>
      <w:r>
        <w:rPr>
          <w:rFonts w:hint="eastAsia" w:ascii="仿宋_GB2312" w:hAnsi="仿宋_GB2312" w:eastAsia="仿宋_GB2312" w:cs="仿宋_GB2312"/>
          <w:b w:val="0"/>
          <w:bCs w:val="0"/>
          <w:kern w:val="0"/>
          <w:sz w:val="32"/>
          <w:szCs w:val="32"/>
          <w:lang w:eastAsia="zh-CN"/>
        </w:rPr>
        <w:t>根据工作部署，印发</w:t>
      </w:r>
      <w:r>
        <w:rPr>
          <w:rFonts w:hint="eastAsia" w:ascii="仿宋_GB2312" w:hAnsi="仿宋_GB2312" w:eastAsia="仿宋_GB2312" w:cs="仿宋_GB2312"/>
          <w:b w:val="0"/>
          <w:bCs w:val="0"/>
          <w:kern w:val="0"/>
          <w:sz w:val="32"/>
          <w:szCs w:val="32"/>
          <w:lang w:val="en-US" w:eastAsia="zh-CN"/>
        </w:rPr>
        <w:t>相</w:t>
      </w:r>
      <w:r>
        <w:rPr>
          <w:rFonts w:hint="eastAsia" w:ascii="仿宋_GB2312" w:hAnsi="仿宋_GB2312" w:eastAsia="仿宋_GB2312" w:cs="仿宋_GB2312"/>
          <w:b w:val="0"/>
          <w:bCs w:val="0"/>
          <w:kern w:val="0"/>
          <w:sz w:val="32"/>
          <w:szCs w:val="32"/>
          <w:lang w:eastAsia="zh-CN"/>
        </w:rPr>
        <w:t>关文件，进一步明确财政部门和各部门单位的工作责任及开展预决算信息公开工作的具体工作要求，对各部门预算完成情况实行情况通报，及时沟通联系，密切配合。</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（三）加强审核环节，确保准确公开。</w:t>
      </w:r>
      <w:r>
        <w:rPr>
          <w:rFonts w:hint="eastAsia" w:ascii="仿宋_GB2312" w:hAnsi="仿宋_GB2312" w:eastAsia="仿宋_GB2312" w:cs="仿宋_GB2312"/>
          <w:b w:val="0"/>
          <w:bCs w:val="0"/>
          <w:kern w:val="0"/>
          <w:sz w:val="32"/>
          <w:szCs w:val="32"/>
          <w:lang w:eastAsia="zh-CN"/>
        </w:rPr>
        <w:t>在政府网站上设立预决算公开专栏，汇总公开政府预决算、部门预决算及“三公”经费预决算等内容。同时要求相关部门加强对部门信息公开内容的审核工作，确保公开信息真实完整，准确无误。</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line="600" w:lineRule="exact"/>
        <w:ind w:firstLine="640" w:firstLineChars="200"/>
        <w:jc w:val="left"/>
        <w:textAlignment w:val="auto"/>
        <w:rPr>
          <w:rFonts w:hint="eastAsia" w:ascii="仿宋_GB2312" w:hAnsi="仿宋_GB2312" w:eastAsia="仿宋_GB2312" w:cs="仿宋_GB2312"/>
          <w:b w:val="0"/>
          <w:bCs w:val="0"/>
          <w:kern w:val="0"/>
          <w:sz w:val="32"/>
          <w:szCs w:val="32"/>
          <w:lang w:eastAsia="zh-CN"/>
        </w:rPr>
      </w:pPr>
      <w:r>
        <w:rPr>
          <w:rFonts w:hint="eastAsia" w:ascii="楷体_GB2312" w:hAnsi="楷体_GB2312" w:eastAsia="楷体_GB2312" w:cs="楷体_GB2312"/>
          <w:b w:val="0"/>
          <w:bCs w:val="0"/>
          <w:kern w:val="0"/>
          <w:sz w:val="32"/>
          <w:szCs w:val="32"/>
          <w:lang w:eastAsia="zh-CN"/>
        </w:rPr>
        <w:t>（四）做好舆情应对，及时解疑释惑。</w:t>
      </w:r>
      <w:r>
        <w:rPr>
          <w:rFonts w:hint="eastAsia" w:ascii="仿宋_GB2312" w:hAnsi="仿宋_GB2312" w:eastAsia="仿宋_GB2312" w:cs="仿宋_GB2312"/>
          <w:b w:val="0"/>
          <w:bCs w:val="0"/>
          <w:kern w:val="0"/>
          <w:sz w:val="32"/>
          <w:szCs w:val="32"/>
          <w:lang w:eastAsia="zh-CN"/>
        </w:rPr>
        <w:t>预决算公开公开工作比较敏感，涉及面广，社会关注度高。因此，在信息公开过程中，我们将及时收集、整理和反馈社会各方面的意见和建议，主动回应社会关切，避免社会公众误解。</w:t>
      </w:r>
    </w:p>
    <w:p>
      <w:pPr>
        <w:keepNext w:val="0"/>
        <w:keepLines w:val="0"/>
        <w:pageBreakBefore w:val="0"/>
        <w:widowControl/>
        <w:shd w:val="clear" w:color="auto" w:fill="FFFFFF"/>
        <w:kinsoku/>
        <w:wordWrap w:val="0"/>
        <w:overflowPunct/>
        <w:topLinePunct w:val="0"/>
        <w:autoSpaceDE/>
        <w:autoSpaceDN/>
        <w:bidi w:val="0"/>
        <w:adjustRightInd/>
        <w:snapToGrid/>
        <w:spacing w:before="100" w:beforeAutospacing="1" w:after="150" w:line="600" w:lineRule="exact"/>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六、其他需要报告的事项</w:t>
      </w:r>
    </w:p>
    <w:p>
      <w:pPr>
        <w:keepNext w:val="0"/>
        <w:keepLines w:val="0"/>
        <w:pageBreakBefore w:val="0"/>
        <w:widowControl/>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无</w:t>
      </w:r>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ascii="仿宋" w:hAnsi="仿宋" w:eastAsia="仿宋" w:cs="Times New Roman"/>
          <w:kern w:val="0"/>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5126" w:firstLineChars="1602"/>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乡宁县财政局</w:t>
      </w:r>
    </w:p>
    <w:p>
      <w:pPr>
        <w:keepNext w:val="0"/>
        <w:keepLines w:val="0"/>
        <w:pageBreakBefore w:val="0"/>
        <w:widowControl/>
        <w:kinsoku/>
        <w:overflowPunct/>
        <w:topLinePunct w:val="0"/>
        <w:autoSpaceDE/>
        <w:autoSpaceDN/>
        <w:bidi w:val="0"/>
        <w:adjustRightInd/>
        <w:snapToGrid/>
        <w:spacing w:line="600" w:lineRule="exact"/>
        <w:ind w:firstLine="4806" w:firstLineChars="1502"/>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2021年1月27日</w:t>
      </w:r>
    </w:p>
    <w:p>
      <w:pPr>
        <w:keepNext w:val="0"/>
        <w:keepLines w:val="0"/>
        <w:pageBreakBefore w:val="0"/>
        <w:widowControl/>
        <w:kinsoku/>
        <w:overflowPunct/>
        <w:topLinePunct w:val="0"/>
        <w:autoSpaceDE/>
        <w:autoSpaceDN/>
        <w:bidi w:val="0"/>
        <w:adjustRightInd/>
        <w:snapToGrid/>
        <w:spacing w:line="600" w:lineRule="exact"/>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chineseCounting"/>
      <w:suff w:val="nothing"/>
      <w:lvlText w:val="%1、"/>
      <w:lvlJc w:val="left"/>
    </w:lvl>
  </w:abstractNum>
  <w:abstractNum w:abstractNumId="1">
    <w:nsid w:val="0000000A"/>
    <w:multiLevelType w:val="singleLevel"/>
    <w:tmpl w:val="0000000A"/>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1F5D28"/>
    <w:rsid w:val="1093105C"/>
    <w:rsid w:val="16393BD6"/>
    <w:rsid w:val="322B229D"/>
    <w:rsid w:val="384C5020"/>
    <w:rsid w:val="42A04481"/>
    <w:rsid w:val="4EDF1F0A"/>
    <w:rsid w:val="5F4F67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customStyle="1" w:styleId="7">
    <w:name w:val="页脚 Char"/>
    <w:basedOn w:val="5"/>
    <w:link w:val="2"/>
    <w:semiHidden/>
    <w:uiPriority w:val="0"/>
    <w:rPr>
      <w:sz w:val="18"/>
      <w:szCs w:val="18"/>
    </w:rPr>
  </w:style>
  <w:style w:type="character" w:customStyle="1" w:styleId="8">
    <w:name w:val="页眉 Char"/>
    <w:basedOn w:val="5"/>
    <w:link w:val="3"/>
    <w:semiHidden/>
    <w:uiPriority w:val="0"/>
    <w:rPr>
      <w:sz w:val="18"/>
      <w:szCs w:val="18"/>
    </w:rPr>
  </w:style>
  <w:style w:type="paragraph" w:customStyle="1" w:styleId="9">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494</Words>
  <Characters>2819</Characters>
  <Lines>23</Lines>
  <Paragraphs>6</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2021-01-27T06:14:00Z</dcterms:created>
  <dc:creator>hp</dc:creator>
  <cp:lastModifiedBy>青春微凉</cp:lastModifiedBy>
  <cp:lastPrinted>2021-01-27T09:42:36Z</cp:lastPrinted>
  <dcterms:modified xsi:type="dcterms:W3CDTF">2021-01-27T10:46:22Z</dcterms:modified>
  <dc:title>hp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