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i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b/>
          <w:i w:val="0"/>
          <w:caps w:val="0"/>
          <w:color w:val="333333"/>
          <w:spacing w:val="0"/>
          <w:sz w:val="44"/>
          <w:szCs w:val="44"/>
          <w:shd w:val="clear" w:fill="FFFFFF"/>
          <w:lang w:val="en-US" w:eastAsia="zh-CN"/>
        </w:rPr>
        <w:t>乡宁县财政局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0"/>
          <w:szCs w:val="40"/>
        </w:rPr>
      </w:pPr>
      <w:r>
        <w:rPr>
          <w:rFonts w:hint="eastAsia" w:ascii="方正小标宋简体" w:hAnsi="方正小标宋简体" w:eastAsia="方正小标宋简体" w:cs="方正小标宋简体"/>
          <w:b/>
          <w:i w:val="0"/>
          <w:caps w:val="0"/>
          <w:color w:val="333333"/>
          <w:spacing w:val="0"/>
          <w:sz w:val="44"/>
          <w:szCs w:val="44"/>
          <w:shd w:val="clear" w:fill="FFFFFF"/>
          <w:lang w:val="en-US" w:eastAsia="zh-CN"/>
        </w:rPr>
        <w:t>2021年</w:t>
      </w:r>
      <w:r>
        <w:rPr>
          <w:rFonts w:hint="eastAsia" w:ascii="方正小标宋简体" w:hAnsi="方正小标宋简体" w:eastAsia="方正小标宋简体" w:cs="方正小标宋简体"/>
          <w:b/>
          <w:i w:val="0"/>
          <w:caps w:val="0"/>
          <w:color w:val="333333"/>
          <w:spacing w:val="0"/>
          <w:sz w:val="44"/>
          <w:szCs w:val="44"/>
          <w:shd w:val="clear" w:fill="FFFFFF"/>
        </w:rPr>
        <w:t>政府信息公开工作年度报告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一</w:t>
      </w:r>
      <w:r>
        <w:rPr>
          <w:rFonts w:hint="eastAsia" w:ascii="黑体" w:hAnsi="黑体" w:eastAsia="黑体" w:cs="黑体"/>
          <w:b w:val="0"/>
          <w:bCs/>
          <w:i w:val="0"/>
          <w:caps w:val="0"/>
          <w:color w:val="333333"/>
          <w:spacing w:val="0"/>
          <w:sz w:val="32"/>
          <w:szCs w:val="32"/>
          <w:shd w:val="clear" w:fill="FFFFFF"/>
        </w:rPr>
        <w:t>、总体情况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202</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年，我局严格落实《中华人民共和国政府信息公开条例》和县政府信息公开要求，积极主动公开政务信息，回应群众关切。收费方面公开了“三个清单”，即：《202</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年乡宁县行政事业性收费目录清单》《202</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年乡宁县涉企行政事业性收费项目目录》《202</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年乡宁县政府性基金项目目录清单》；</w:t>
      </w:r>
      <w:r>
        <w:rPr>
          <w:rFonts w:hint="eastAsia" w:ascii="仿宋_GB2312" w:hAnsi="仿宋_GB2312" w:eastAsia="仿宋_GB2312" w:cs="仿宋_GB2312"/>
          <w:i w:val="0"/>
          <w:caps w:val="0"/>
          <w:color w:val="333333"/>
          <w:spacing w:val="0"/>
          <w:sz w:val="32"/>
          <w:szCs w:val="32"/>
          <w:shd w:val="clear" w:fill="FFFFFF"/>
          <w:lang w:val="en-US" w:eastAsia="zh-CN"/>
        </w:rPr>
        <w:t>巩固拓展脱贫攻坚成果与乡村振兴有效衔接</w:t>
      </w:r>
      <w:r>
        <w:rPr>
          <w:rFonts w:hint="eastAsia" w:ascii="仿宋_GB2312" w:hAnsi="仿宋_GB2312" w:eastAsia="仿宋_GB2312" w:cs="仿宋_GB2312"/>
          <w:i w:val="0"/>
          <w:caps w:val="0"/>
          <w:color w:val="333333"/>
          <w:spacing w:val="0"/>
          <w:sz w:val="32"/>
          <w:szCs w:val="32"/>
          <w:shd w:val="clear" w:fill="FFFFFF"/>
        </w:rPr>
        <w:t>方面公开了《乡宁县202</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年脱贫成效巩固提升项目》《乡宁县财政局202</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年专项扶贫资金支出情况公示》《乡宁县202</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年统筹整合使用财政涉农资金调整方案》；预决算方面公开了</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乡宁县20</w:t>
      </w:r>
      <w:r>
        <w:rPr>
          <w:rFonts w:hint="eastAsia" w:ascii="仿宋_GB2312" w:hAnsi="仿宋_GB2312" w:eastAsia="仿宋_GB2312" w:cs="仿宋_GB2312"/>
          <w:i w:val="0"/>
          <w:caps w:val="0"/>
          <w:color w:val="333333"/>
          <w:spacing w:val="0"/>
          <w:sz w:val="32"/>
          <w:szCs w:val="32"/>
          <w:shd w:val="clear" w:fill="FFFFFF"/>
          <w:lang w:val="en-US" w:eastAsia="zh-CN"/>
        </w:rPr>
        <w:t>20</w:t>
      </w:r>
      <w:r>
        <w:rPr>
          <w:rFonts w:hint="eastAsia" w:ascii="仿宋_GB2312" w:hAnsi="仿宋_GB2312" w:eastAsia="仿宋_GB2312" w:cs="仿宋_GB2312"/>
          <w:i w:val="0"/>
          <w:caps w:val="0"/>
          <w:color w:val="333333"/>
          <w:spacing w:val="0"/>
          <w:sz w:val="32"/>
          <w:szCs w:val="32"/>
          <w:shd w:val="clear" w:fill="FFFFFF"/>
        </w:rPr>
        <w:t>年预算执行情况和20</w:t>
      </w:r>
      <w:r>
        <w:rPr>
          <w:rFonts w:hint="eastAsia" w:ascii="仿宋_GB2312" w:hAnsi="仿宋_GB2312" w:eastAsia="仿宋_GB2312" w:cs="仿宋_GB2312"/>
          <w:i w:val="0"/>
          <w:caps w:val="0"/>
          <w:color w:val="333333"/>
          <w:spacing w:val="0"/>
          <w:sz w:val="32"/>
          <w:szCs w:val="32"/>
          <w:shd w:val="clear" w:fill="FFFFFF"/>
          <w:lang w:val="en-US" w:eastAsia="zh-CN"/>
        </w:rPr>
        <w:t>21</w:t>
      </w:r>
      <w:r>
        <w:rPr>
          <w:rFonts w:hint="eastAsia" w:ascii="仿宋_GB2312" w:hAnsi="仿宋_GB2312" w:eastAsia="仿宋_GB2312" w:cs="仿宋_GB2312"/>
          <w:i w:val="0"/>
          <w:caps w:val="0"/>
          <w:color w:val="333333"/>
          <w:spacing w:val="0"/>
          <w:sz w:val="32"/>
          <w:szCs w:val="32"/>
          <w:shd w:val="clear" w:fill="FFFFFF"/>
        </w:rPr>
        <w:t>年财政预算（草案）报告</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、人代会批复的20</w:t>
      </w:r>
      <w:r>
        <w:rPr>
          <w:rFonts w:hint="eastAsia" w:ascii="仿宋_GB2312" w:hAnsi="仿宋_GB2312" w:eastAsia="仿宋_GB2312" w:cs="仿宋_GB2312"/>
          <w:i w:val="0"/>
          <w:caps w:val="0"/>
          <w:color w:val="333333"/>
          <w:spacing w:val="0"/>
          <w:sz w:val="32"/>
          <w:szCs w:val="32"/>
          <w:shd w:val="clear" w:fill="FFFFFF"/>
          <w:lang w:val="en-US" w:eastAsia="zh-CN"/>
        </w:rPr>
        <w:t>20</w:t>
      </w:r>
      <w:r>
        <w:rPr>
          <w:rFonts w:hint="eastAsia" w:ascii="仿宋_GB2312" w:hAnsi="仿宋_GB2312" w:eastAsia="仿宋_GB2312" w:cs="仿宋_GB2312"/>
          <w:i w:val="0"/>
          <w:caps w:val="0"/>
          <w:color w:val="333333"/>
          <w:spacing w:val="0"/>
          <w:sz w:val="32"/>
          <w:szCs w:val="32"/>
          <w:shd w:val="clear" w:fill="FFFFFF"/>
        </w:rPr>
        <w:t>年财政决算、财政预决算领域基层政务公开标准目录等内容</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财政拨款收支细化公开至项级科目，一般公共预算基本支出细化公开至款级科目，公开率达100%，提高了预决算信息透明度，切实保障人民群众和社会各界的知情权、参与权和监督权。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二、主动公开政府信息情况</w:t>
      </w:r>
    </w:p>
    <w:tbl>
      <w:tblPr>
        <w:tblStyle w:val="5"/>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3647</w:t>
            </w:r>
          </w:p>
        </w:tc>
      </w:tr>
    </w:tbl>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三、收到和处理政府信息公开申请情况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9"/>
        <w:gridCol w:w="947"/>
        <w:gridCol w:w="3214"/>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ascii="楷体" w:hAnsi="楷体" w:eastAsia="楷体" w:cs="楷体"/>
                <w:kern w:val="0"/>
                <w:sz w:val="22"/>
                <w:szCs w:val="22"/>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32"/>
                <w:szCs w:val="32"/>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32"/>
                <w:szCs w:val="32"/>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（二）部分公开</w:t>
            </w:r>
            <w:r>
              <w:rPr>
                <w:rFonts w:hint="eastAsia" w:ascii="楷体" w:hAnsi="楷体" w:eastAsia="楷体" w:cs="楷体"/>
                <w:kern w:val="0"/>
                <w:sz w:val="22"/>
                <w:szCs w:val="22"/>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eastAsia" w:ascii="Calibri" w:hAnsi="Calibri" w:cs="Calibri"/>
                <w:kern w:val="0"/>
                <w:sz w:val="22"/>
                <w:szCs w:val="22"/>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32"/>
                <w:szCs w:val="32"/>
                <w:lang w:val="en-US" w:eastAsia="zh-CN"/>
              </w:rPr>
            </w:pPr>
            <w:r>
              <w:rPr>
                <w:rFonts w:hint="eastAsia" w:ascii="宋体"/>
                <w:sz w:val="32"/>
                <w:szCs w:val="32"/>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其他</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尚未</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其他</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尚未</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其他</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尚未</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sz w:val="28"/>
                <w:szCs w:val="28"/>
                <w:lang w:val="en-US" w:eastAsia="zh-CN"/>
              </w:rPr>
            </w:pPr>
            <w:r>
              <w:rPr>
                <w:rFonts w:hint="eastAsia" w:ascii="宋体"/>
                <w:sz w:val="28"/>
                <w:szCs w:val="28"/>
                <w:lang w:val="en-US" w:eastAsia="zh-CN"/>
              </w:rPr>
              <w:t>0</w:t>
            </w:r>
          </w:p>
        </w:tc>
      </w:tr>
    </w:tbl>
    <w:p>
      <w:pPr>
        <w:keepNext w:val="0"/>
        <w:keepLines w:val="0"/>
        <w:widowControl/>
        <w:suppressLineNumbers w:val="0"/>
        <w:jc w:val="left"/>
      </w:pPr>
    </w:p>
    <w:p>
      <w:pPr>
        <w:keepNext w:val="0"/>
        <w:keepLines w:val="0"/>
        <w:widowControl/>
        <w:numPr>
          <w:ilvl w:val="0"/>
          <w:numId w:val="1"/>
        </w:numPr>
        <w:suppressLineNumbers w:val="0"/>
        <w:jc w:val="left"/>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存在的主要问题及改进情况</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202</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年，财政部门预决算公开</w:t>
      </w:r>
      <w:r>
        <w:rPr>
          <w:rFonts w:hint="eastAsia" w:ascii="仿宋_GB2312" w:hAnsi="仿宋_GB2312" w:eastAsia="仿宋_GB2312" w:cs="仿宋_GB2312"/>
          <w:i w:val="0"/>
          <w:caps w:val="0"/>
          <w:color w:val="333333"/>
          <w:spacing w:val="0"/>
          <w:sz w:val="32"/>
          <w:szCs w:val="32"/>
          <w:shd w:val="clear" w:fill="FFFFFF"/>
          <w:lang w:val="en-US" w:eastAsia="zh-CN"/>
        </w:rPr>
        <w:t>工作</w:t>
      </w:r>
      <w:r>
        <w:rPr>
          <w:rFonts w:hint="eastAsia" w:ascii="仿宋_GB2312" w:hAnsi="仿宋_GB2312" w:eastAsia="仿宋_GB2312" w:cs="仿宋_GB2312"/>
          <w:i w:val="0"/>
          <w:caps w:val="0"/>
          <w:color w:val="333333"/>
          <w:spacing w:val="0"/>
          <w:sz w:val="32"/>
          <w:szCs w:val="32"/>
          <w:shd w:val="clear" w:fill="FFFFFF"/>
        </w:rPr>
        <w:t>严格按照上级文件、规定执行，虽然我们做了大量的工作，但是与上级部门的要求还有一些差距，如：</w:t>
      </w:r>
      <w:r>
        <w:rPr>
          <w:rFonts w:hint="eastAsia" w:ascii="仿宋_GB2312" w:hAnsi="仿宋_GB2312" w:eastAsia="仿宋_GB2312" w:cs="仿宋_GB2312"/>
          <w:i w:val="0"/>
          <w:caps w:val="0"/>
          <w:color w:val="333333"/>
          <w:spacing w:val="0"/>
          <w:sz w:val="32"/>
          <w:szCs w:val="32"/>
          <w:highlight w:val="none"/>
          <w:shd w:val="clear" w:fill="FFFFFF"/>
          <w:lang w:val="en-US" w:eastAsia="zh-CN"/>
        </w:rPr>
        <w:t>财政部门和部门预算单位衔接需继续加强</w:t>
      </w:r>
      <w:r>
        <w:rPr>
          <w:rFonts w:hint="eastAsia" w:ascii="仿宋_GB2312" w:hAnsi="仿宋_GB2312" w:eastAsia="仿宋_GB2312" w:cs="仿宋_GB2312"/>
          <w:i w:val="0"/>
          <w:caps w:val="0"/>
          <w:color w:val="333333"/>
          <w:spacing w:val="0"/>
          <w:sz w:val="32"/>
          <w:szCs w:val="32"/>
          <w:shd w:val="clear" w:fill="FFFFFF"/>
        </w:rPr>
        <w:t>，下一步我们将采取措施，认真加以解决：</w:t>
      </w:r>
      <w:bookmarkStart w:id="0" w:name="_GoBack"/>
      <w:bookmarkEnd w:id="0"/>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（一）</w:t>
      </w:r>
      <w:r>
        <w:rPr>
          <w:rFonts w:hint="eastAsia" w:ascii="楷体_GB2312" w:hAnsi="楷体_GB2312" w:eastAsia="楷体_GB2312" w:cs="楷体_GB2312"/>
          <w:i w:val="0"/>
          <w:caps w:val="0"/>
          <w:color w:val="333333"/>
          <w:spacing w:val="0"/>
          <w:sz w:val="32"/>
          <w:szCs w:val="32"/>
          <w:shd w:val="clear" w:fill="FFFFFF"/>
          <w:lang w:val="en-US" w:eastAsia="zh-CN"/>
        </w:rPr>
        <w:t>进一步健全完善公开机制。</w:t>
      </w:r>
      <w:r>
        <w:rPr>
          <w:rFonts w:hint="eastAsia" w:ascii="仿宋_GB2312" w:hAnsi="仿宋_GB2312" w:eastAsia="仿宋_GB2312" w:cs="仿宋_GB2312"/>
          <w:i w:val="0"/>
          <w:caps w:val="0"/>
          <w:color w:val="333333"/>
          <w:spacing w:val="0"/>
          <w:sz w:val="32"/>
          <w:szCs w:val="32"/>
          <w:shd w:val="clear" w:fill="FFFFFF"/>
        </w:rPr>
        <w:t>为扎实做好预决算公开工作，我局将进一步完善工作机制，细化公开内容，统一公开格式</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表格、口径</w:t>
      </w:r>
      <w:r>
        <w:rPr>
          <w:rFonts w:hint="eastAsia" w:ascii="仿宋_GB2312" w:hAnsi="仿宋_GB2312" w:eastAsia="仿宋_GB2312" w:cs="仿宋_GB2312"/>
          <w:i w:val="0"/>
          <w:caps w:val="0"/>
          <w:color w:val="333333"/>
          <w:spacing w:val="0"/>
          <w:sz w:val="32"/>
          <w:szCs w:val="32"/>
          <w:shd w:val="clear" w:fill="FFFFFF"/>
          <w:lang w:eastAsia="zh-CN"/>
        </w:rPr>
        <w:t>等</w:t>
      </w:r>
      <w:r>
        <w:rPr>
          <w:rFonts w:hint="eastAsia" w:ascii="仿宋_GB2312" w:hAnsi="仿宋_GB2312" w:eastAsia="仿宋_GB2312" w:cs="仿宋_GB2312"/>
          <w:i w:val="0"/>
          <w:caps w:val="0"/>
          <w:color w:val="333333"/>
          <w:spacing w:val="0"/>
          <w:sz w:val="32"/>
          <w:szCs w:val="32"/>
          <w:shd w:val="clear" w:fill="FFFFFF"/>
        </w:rPr>
        <w:t>内容。</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（二）</w:t>
      </w:r>
      <w:r>
        <w:rPr>
          <w:rFonts w:hint="eastAsia" w:ascii="楷体_GB2312" w:hAnsi="楷体_GB2312" w:eastAsia="楷体_GB2312" w:cs="楷体_GB2312"/>
          <w:i w:val="0"/>
          <w:caps w:val="0"/>
          <w:color w:val="333333"/>
          <w:spacing w:val="0"/>
          <w:sz w:val="32"/>
          <w:szCs w:val="32"/>
          <w:shd w:val="clear" w:fill="FFFFFF"/>
          <w:lang w:val="en-US" w:eastAsia="zh-CN"/>
        </w:rPr>
        <w:t>进一步强化工作落实。</w:t>
      </w:r>
      <w:r>
        <w:rPr>
          <w:rFonts w:hint="eastAsia" w:ascii="仿宋_GB2312" w:hAnsi="仿宋_GB2312" w:eastAsia="仿宋_GB2312" w:cs="仿宋_GB2312"/>
          <w:i w:val="0"/>
          <w:caps w:val="0"/>
          <w:color w:val="333333"/>
          <w:spacing w:val="0"/>
          <w:sz w:val="32"/>
          <w:szCs w:val="32"/>
          <w:shd w:val="clear" w:fill="FFFFFF"/>
        </w:rPr>
        <w:t>根据工作部署，</w:t>
      </w:r>
      <w:r>
        <w:rPr>
          <w:rFonts w:hint="eastAsia" w:ascii="仿宋_GB2312" w:hAnsi="仿宋_GB2312" w:eastAsia="仿宋_GB2312" w:cs="仿宋_GB2312"/>
          <w:i w:val="0"/>
          <w:caps w:val="0"/>
          <w:color w:val="333333"/>
          <w:spacing w:val="0"/>
          <w:sz w:val="32"/>
          <w:szCs w:val="32"/>
          <w:shd w:val="clear" w:fill="FFFFFF"/>
          <w:lang w:val="en-US" w:eastAsia="zh-CN"/>
        </w:rPr>
        <w:t>及时</w:t>
      </w:r>
      <w:r>
        <w:rPr>
          <w:rFonts w:hint="eastAsia" w:ascii="仿宋_GB2312" w:hAnsi="仿宋_GB2312" w:eastAsia="仿宋_GB2312" w:cs="仿宋_GB2312"/>
          <w:i w:val="0"/>
          <w:caps w:val="0"/>
          <w:color w:val="333333"/>
          <w:spacing w:val="0"/>
          <w:sz w:val="32"/>
          <w:szCs w:val="32"/>
          <w:shd w:val="clear" w:fill="FFFFFF"/>
        </w:rPr>
        <w:t>印发相关文件，明确财政部门和各部门单位的工作责任及开展预决算信息公开工作的具体工作要求，实时督促</w:t>
      </w:r>
      <w:r>
        <w:rPr>
          <w:rFonts w:hint="eastAsia" w:ascii="仿宋_GB2312" w:hAnsi="仿宋_GB2312" w:eastAsia="仿宋_GB2312" w:cs="仿宋_GB2312"/>
          <w:i w:val="0"/>
          <w:caps w:val="0"/>
          <w:color w:val="333333"/>
          <w:spacing w:val="0"/>
          <w:sz w:val="32"/>
          <w:szCs w:val="32"/>
          <w:shd w:val="clear" w:fill="FFFFFF"/>
          <w:lang w:val="en-US" w:eastAsia="zh-CN"/>
        </w:rPr>
        <w:t>提醒，</w:t>
      </w:r>
      <w:r>
        <w:rPr>
          <w:rFonts w:hint="eastAsia" w:ascii="仿宋_GB2312" w:hAnsi="仿宋_GB2312" w:eastAsia="仿宋_GB2312" w:cs="仿宋_GB2312"/>
          <w:i w:val="0"/>
          <w:caps w:val="0"/>
          <w:color w:val="333333"/>
          <w:spacing w:val="0"/>
          <w:sz w:val="32"/>
          <w:szCs w:val="32"/>
          <w:shd w:val="clear" w:fill="FFFFFF"/>
        </w:rPr>
        <w:t>对各部门预算完成情况实行情况通报，及时沟通联系，</w:t>
      </w:r>
      <w:r>
        <w:rPr>
          <w:rFonts w:hint="eastAsia" w:ascii="仿宋_GB2312" w:hAnsi="仿宋_GB2312" w:eastAsia="仿宋_GB2312" w:cs="仿宋_GB2312"/>
          <w:i w:val="0"/>
          <w:caps w:val="0"/>
          <w:color w:val="333333"/>
          <w:spacing w:val="0"/>
          <w:sz w:val="32"/>
          <w:szCs w:val="32"/>
          <w:shd w:val="clear" w:fill="FFFFFF"/>
          <w:lang w:val="en-US" w:eastAsia="zh-CN"/>
        </w:rPr>
        <w:t>确保公开工作落实落地</w:t>
      </w:r>
      <w:r>
        <w:rPr>
          <w:rFonts w:hint="eastAsia" w:ascii="仿宋_GB2312" w:hAnsi="仿宋_GB2312" w:eastAsia="仿宋_GB2312" w:cs="仿宋_GB2312"/>
          <w:i w:val="0"/>
          <w:caps w:val="0"/>
          <w:color w:val="333333"/>
          <w:spacing w:val="0"/>
          <w:sz w:val="32"/>
          <w:szCs w:val="32"/>
          <w:shd w:val="clear" w:fill="FFFFFF"/>
        </w:rPr>
        <w:t>。</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（三）</w:t>
      </w:r>
      <w:r>
        <w:rPr>
          <w:rFonts w:hint="eastAsia" w:ascii="楷体_GB2312" w:hAnsi="楷体_GB2312" w:eastAsia="楷体_GB2312" w:cs="楷体_GB2312"/>
          <w:i w:val="0"/>
          <w:caps w:val="0"/>
          <w:color w:val="333333"/>
          <w:spacing w:val="0"/>
          <w:sz w:val="32"/>
          <w:szCs w:val="32"/>
          <w:shd w:val="clear" w:fill="FFFFFF"/>
          <w:lang w:val="en-US" w:eastAsia="zh-CN"/>
        </w:rPr>
        <w:t>进一步加强审核验收。</w:t>
      </w:r>
      <w:r>
        <w:rPr>
          <w:rFonts w:hint="eastAsia" w:ascii="仿宋_GB2312" w:hAnsi="仿宋_GB2312" w:eastAsia="仿宋_GB2312" w:cs="仿宋_GB2312"/>
          <w:i w:val="0"/>
          <w:caps w:val="0"/>
          <w:color w:val="333333"/>
          <w:spacing w:val="0"/>
          <w:sz w:val="32"/>
          <w:szCs w:val="32"/>
          <w:shd w:val="clear" w:fill="FFFFFF"/>
        </w:rPr>
        <w:t>在政府网站上设立预决算公开专栏，汇总公开政府预决算、部门预决算及“三公”经费预决算等内容</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加强审核，确保准确公开。同时</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及时督促</w:t>
      </w:r>
      <w:r>
        <w:rPr>
          <w:rFonts w:hint="eastAsia" w:ascii="仿宋_GB2312" w:hAnsi="仿宋_GB2312" w:eastAsia="仿宋_GB2312" w:cs="仿宋_GB2312"/>
          <w:i w:val="0"/>
          <w:caps w:val="0"/>
          <w:color w:val="333333"/>
          <w:spacing w:val="0"/>
          <w:sz w:val="32"/>
          <w:szCs w:val="32"/>
          <w:shd w:val="clear" w:fill="FFFFFF"/>
        </w:rPr>
        <w:t>相关部门加强对部门信息公开内容的审核工作，确保公开信息真实完整，准确无误。</w:t>
      </w:r>
    </w:p>
    <w:p>
      <w:pPr>
        <w:keepNext w:val="0"/>
        <w:keepLines w:val="0"/>
        <w:widowControl/>
        <w:suppressLineNumbers w:val="0"/>
        <w:ind w:firstLine="640" w:firstLineChars="200"/>
        <w:jc w:val="left"/>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0" w:firstLineChars="15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2022年1月20日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楷体_GB2312" w:hAnsi="楷体_GB2312" w:eastAsia="楷体_GB2312" w:cs="楷体_GB2312"/>
                              <w:sz w:val="24"/>
                              <w:szCs w:val="40"/>
                            </w:rPr>
                          </w:pPr>
                          <w:r>
                            <w:rPr>
                              <w:rFonts w:hint="eastAsia" w:ascii="楷体_GB2312" w:hAnsi="楷体_GB2312" w:eastAsia="楷体_GB2312" w:cs="楷体_GB2312"/>
                              <w:sz w:val="24"/>
                              <w:szCs w:val="40"/>
                            </w:rPr>
                            <w:fldChar w:fldCharType="begin"/>
                          </w:r>
                          <w:r>
                            <w:rPr>
                              <w:rFonts w:hint="eastAsia" w:ascii="楷体_GB2312" w:hAnsi="楷体_GB2312" w:eastAsia="楷体_GB2312" w:cs="楷体_GB2312"/>
                              <w:sz w:val="24"/>
                              <w:szCs w:val="40"/>
                            </w:rPr>
                            <w:instrText xml:space="preserve"> PAGE  \* MERGEFORMAT </w:instrText>
                          </w:r>
                          <w:r>
                            <w:rPr>
                              <w:rFonts w:hint="eastAsia" w:ascii="楷体_GB2312" w:hAnsi="楷体_GB2312" w:eastAsia="楷体_GB2312" w:cs="楷体_GB2312"/>
                              <w:sz w:val="24"/>
                              <w:szCs w:val="40"/>
                            </w:rPr>
                            <w:fldChar w:fldCharType="separate"/>
                          </w:r>
                          <w:r>
                            <w:rPr>
                              <w:rFonts w:hint="eastAsia" w:ascii="楷体_GB2312" w:hAnsi="楷体_GB2312" w:eastAsia="楷体_GB2312" w:cs="楷体_GB2312"/>
                              <w:sz w:val="24"/>
                              <w:szCs w:val="40"/>
                            </w:rPr>
                            <w:t>1</w:t>
                          </w:r>
                          <w:r>
                            <w:rPr>
                              <w:rFonts w:hint="eastAsia" w:ascii="楷体_GB2312" w:hAnsi="楷体_GB2312" w:eastAsia="楷体_GB2312" w:cs="楷体_GB2312"/>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楷体_GB2312" w:hAnsi="楷体_GB2312" w:eastAsia="楷体_GB2312" w:cs="楷体_GB2312"/>
                        <w:sz w:val="24"/>
                        <w:szCs w:val="40"/>
                      </w:rPr>
                    </w:pPr>
                    <w:r>
                      <w:rPr>
                        <w:rFonts w:hint="eastAsia" w:ascii="楷体_GB2312" w:hAnsi="楷体_GB2312" w:eastAsia="楷体_GB2312" w:cs="楷体_GB2312"/>
                        <w:sz w:val="24"/>
                        <w:szCs w:val="40"/>
                      </w:rPr>
                      <w:fldChar w:fldCharType="begin"/>
                    </w:r>
                    <w:r>
                      <w:rPr>
                        <w:rFonts w:hint="eastAsia" w:ascii="楷体_GB2312" w:hAnsi="楷体_GB2312" w:eastAsia="楷体_GB2312" w:cs="楷体_GB2312"/>
                        <w:sz w:val="24"/>
                        <w:szCs w:val="40"/>
                      </w:rPr>
                      <w:instrText xml:space="preserve"> PAGE  \* MERGEFORMAT </w:instrText>
                    </w:r>
                    <w:r>
                      <w:rPr>
                        <w:rFonts w:hint="eastAsia" w:ascii="楷体_GB2312" w:hAnsi="楷体_GB2312" w:eastAsia="楷体_GB2312" w:cs="楷体_GB2312"/>
                        <w:sz w:val="24"/>
                        <w:szCs w:val="40"/>
                      </w:rPr>
                      <w:fldChar w:fldCharType="separate"/>
                    </w:r>
                    <w:r>
                      <w:rPr>
                        <w:rFonts w:hint="eastAsia" w:ascii="楷体_GB2312" w:hAnsi="楷体_GB2312" w:eastAsia="楷体_GB2312" w:cs="楷体_GB2312"/>
                        <w:sz w:val="24"/>
                        <w:szCs w:val="40"/>
                      </w:rPr>
                      <w:t>1</w:t>
                    </w:r>
                    <w:r>
                      <w:rPr>
                        <w:rFonts w:hint="eastAsia" w:ascii="楷体_GB2312" w:hAnsi="楷体_GB2312" w:eastAsia="楷体_GB2312" w:cs="楷体_GB2312"/>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BFD8A"/>
    <w:multiLevelType w:val="singleLevel"/>
    <w:tmpl w:val="A55BFD8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E55C5"/>
    <w:rsid w:val="00A14E43"/>
    <w:rsid w:val="0349053B"/>
    <w:rsid w:val="078801B7"/>
    <w:rsid w:val="152871DD"/>
    <w:rsid w:val="1856485F"/>
    <w:rsid w:val="220A23E4"/>
    <w:rsid w:val="327E55C5"/>
    <w:rsid w:val="37681B3D"/>
    <w:rsid w:val="401B5ECF"/>
    <w:rsid w:val="53A154D9"/>
    <w:rsid w:val="582D722F"/>
    <w:rsid w:val="5C4C3FAF"/>
    <w:rsid w:val="5DDC2F19"/>
    <w:rsid w:val="62663AEF"/>
    <w:rsid w:val="66D73B92"/>
    <w:rsid w:val="780E36CE"/>
    <w:rsid w:val="783E7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2022-01-16T08:47:00Z</dcterms:created>
  <dc:creator>JWH</dc:creator>
  <cp:lastModifiedBy>青春微凉</cp:lastModifiedBy>
  <cp:lastPrinted>2022-01-21T08:54:47Z</cp:lastPrinted>
  <dcterms:modified xsi:type="dcterms:W3CDTF">2022-01-21T08:54:51Z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1C08D97393F644BB9007B68F865A017B</vt:lpwstr>
  </property>
</Properties>
</file>