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widowControl/>
        <w:shd w:val="clear" w:color="auto" w:fill="FFFFFF"/>
        <w:wordWrap/>
        <w:adjustRightInd w:val="0"/>
        <w:snapToGrid w:val="0"/>
        <w:spacing w:before="0" w:beforeAutospacing="0" w:after="0" w:afterAutospacing="0" w:line="660" w:lineRule="atLeast"/>
        <w:ind w:firstLine="0"/>
        <w:jc w:val="center"/>
        <w:textAlignment w:val="auto"/>
        <w:rPr>
          <w:rFonts w:hint="eastAsia" w:ascii="华文中宋" w:hAnsi="华文中宋" w:eastAsia="华文中宋" w:cs="华文中宋"/>
          <w:b/>
          <w:color w:val="000000"/>
          <w:sz w:val="44"/>
          <w:szCs w:val="44"/>
        </w:rPr>
      </w:pPr>
    </w:p>
    <w:p>
      <w:pPr>
        <w:pStyle w:val="8"/>
        <w:widowControl/>
        <w:shd w:val="clear" w:color="auto" w:fill="FFFFFF"/>
        <w:wordWrap/>
        <w:adjustRightInd w:val="0"/>
        <w:snapToGrid w:val="0"/>
        <w:spacing w:before="0" w:beforeAutospacing="0" w:after="0" w:afterAutospacing="0" w:line="660" w:lineRule="atLeast"/>
        <w:ind w:firstLine="0"/>
        <w:jc w:val="center"/>
        <w:textAlignment w:val="auto"/>
        <w:rPr>
          <w:rFonts w:hint="eastAsia" w:ascii="华文中宋" w:hAnsi="华文中宋" w:eastAsia="华文中宋" w:cs="华文中宋"/>
          <w:b w:val="0"/>
          <w:bCs/>
          <w:color w:val="000000"/>
          <w:sz w:val="44"/>
          <w:szCs w:val="44"/>
        </w:rPr>
      </w:pPr>
      <w:r>
        <w:rPr>
          <w:rFonts w:hint="eastAsia" w:ascii="华文中宋" w:hAnsi="华文中宋" w:eastAsia="华文中宋" w:cs="华文中宋"/>
          <w:b w:val="0"/>
          <w:bCs/>
          <w:color w:val="000000"/>
          <w:sz w:val="44"/>
          <w:szCs w:val="44"/>
        </w:rPr>
        <w:t>乡宁县人民政府2020年政务信息公开</w:t>
      </w:r>
    </w:p>
    <w:p>
      <w:pPr>
        <w:pStyle w:val="8"/>
        <w:widowControl/>
        <w:shd w:val="clear" w:color="auto" w:fill="FFFFFF"/>
        <w:wordWrap/>
        <w:adjustRightInd w:val="0"/>
        <w:snapToGrid w:val="0"/>
        <w:spacing w:before="0" w:beforeAutospacing="0" w:after="0" w:afterAutospacing="0" w:line="660" w:lineRule="atLeast"/>
        <w:ind w:firstLine="0"/>
        <w:jc w:val="center"/>
        <w:textAlignment w:val="auto"/>
        <w:rPr>
          <w:rFonts w:hint="eastAsia" w:ascii="华文中宋" w:hAnsi="华文中宋" w:eastAsia="华文中宋" w:cs="华文中宋"/>
          <w:b w:val="0"/>
          <w:bCs/>
          <w:color w:val="000000"/>
          <w:sz w:val="44"/>
          <w:szCs w:val="44"/>
        </w:rPr>
      </w:pPr>
      <w:r>
        <w:rPr>
          <w:rFonts w:hint="eastAsia" w:ascii="华文中宋" w:hAnsi="华文中宋" w:eastAsia="华文中宋" w:cs="华文中宋"/>
          <w:b w:val="0"/>
          <w:bCs/>
          <w:color w:val="000000"/>
          <w:sz w:val="44"/>
          <w:szCs w:val="44"/>
        </w:rPr>
        <w:t>工</w:t>
      </w:r>
      <w:r>
        <w:rPr>
          <w:rFonts w:hint="eastAsia" w:ascii="华文中宋" w:hAnsi="华文中宋" w:eastAsia="华文中宋" w:cs="华文中宋"/>
          <w:b w:val="0"/>
          <w:bCs/>
          <w:color w:val="000000"/>
          <w:sz w:val="44"/>
          <w:szCs w:val="44"/>
          <w:lang w:val="en-US" w:eastAsia="zh-CN"/>
        </w:rPr>
        <w:t xml:space="preserve"> </w:t>
      </w:r>
      <w:r>
        <w:rPr>
          <w:rFonts w:hint="eastAsia" w:ascii="华文中宋" w:hAnsi="华文中宋" w:eastAsia="华文中宋" w:cs="华文中宋"/>
          <w:b w:val="0"/>
          <w:bCs/>
          <w:color w:val="000000"/>
          <w:sz w:val="44"/>
          <w:szCs w:val="44"/>
        </w:rPr>
        <w:t>作</w:t>
      </w:r>
      <w:r>
        <w:rPr>
          <w:rFonts w:hint="eastAsia" w:ascii="华文中宋" w:hAnsi="华文中宋" w:eastAsia="华文中宋" w:cs="华文中宋"/>
          <w:b w:val="0"/>
          <w:bCs/>
          <w:color w:val="000000"/>
          <w:sz w:val="44"/>
          <w:szCs w:val="44"/>
          <w:lang w:val="en-US" w:eastAsia="zh-CN"/>
        </w:rPr>
        <w:t xml:space="preserve"> </w:t>
      </w:r>
      <w:r>
        <w:rPr>
          <w:rFonts w:hint="eastAsia" w:ascii="华文中宋" w:hAnsi="华文中宋" w:eastAsia="华文中宋" w:cs="华文中宋"/>
          <w:b w:val="0"/>
          <w:bCs/>
          <w:color w:val="000000"/>
          <w:sz w:val="44"/>
          <w:szCs w:val="44"/>
        </w:rPr>
        <w:t>报</w:t>
      </w:r>
      <w:r>
        <w:rPr>
          <w:rFonts w:hint="eastAsia" w:ascii="华文中宋" w:hAnsi="华文中宋" w:eastAsia="华文中宋" w:cs="华文中宋"/>
          <w:b w:val="0"/>
          <w:bCs/>
          <w:color w:val="000000"/>
          <w:sz w:val="44"/>
          <w:szCs w:val="44"/>
          <w:lang w:val="en-US" w:eastAsia="zh-CN"/>
        </w:rPr>
        <w:t xml:space="preserve"> </w:t>
      </w:r>
      <w:r>
        <w:rPr>
          <w:rFonts w:hint="eastAsia" w:ascii="华文中宋" w:hAnsi="华文中宋" w:eastAsia="华文中宋" w:cs="华文中宋"/>
          <w:b w:val="0"/>
          <w:bCs/>
          <w:color w:val="000000"/>
          <w:sz w:val="44"/>
          <w:szCs w:val="44"/>
        </w:rPr>
        <w:t>告</w:t>
      </w:r>
    </w:p>
    <w:p>
      <w:pPr>
        <w:pStyle w:val="8"/>
        <w:widowControl/>
        <w:shd w:val="clear" w:color="auto" w:fill="FFFFFF"/>
        <w:wordWrap/>
        <w:adjustRightInd/>
        <w:snapToGrid/>
        <w:spacing w:before="0" w:beforeAutospacing="0" w:after="0" w:afterAutospacing="0" w:line="560" w:lineRule="atLeast"/>
        <w:ind w:left="0" w:leftChars="0" w:right="0" w:firstLine="640" w:firstLineChars="200"/>
        <w:jc w:val="left"/>
        <w:textAlignment w:val="auto"/>
        <w:outlineLvl w:val="9"/>
        <w:rPr>
          <w:rFonts w:hint="eastAsia" w:ascii="仿宋_GB2312" w:hAnsi="仿宋_GB2312" w:eastAsia="仿宋_GB2312" w:cs="仿宋_GB2312"/>
          <w:color w:val="333333"/>
          <w:sz w:val="32"/>
          <w:szCs w:val="32"/>
        </w:rPr>
      </w:pPr>
    </w:p>
    <w:p>
      <w:pPr>
        <w:pStyle w:val="8"/>
        <w:widowControl/>
        <w:shd w:val="clear" w:color="auto" w:fill="FFFFFF"/>
        <w:wordWrap/>
        <w:adjustRightInd/>
        <w:snapToGrid/>
        <w:spacing w:before="0" w:beforeAutospacing="0" w:after="0" w:afterAutospacing="0" w:line="520" w:lineRule="atLeast"/>
        <w:ind w:left="0" w:leftChars="0" w:right="0" w:firstLine="640" w:firstLineChars="200"/>
        <w:jc w:val="left"/>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2020年，乡宁县政府信息公开工作紧紧围绕县委、县政府，严格按照中央、省、市政府信息公开工作相关要求和部署，全面落实主动公开要求，依法依规做好依申请公开，稳步推进政府信息管理，持续加强公开平台建设，完善健全监督保障机制，呈现出公开内容丰富、公开范围广泛、公开形式多样的良好局面</w:t>
      </w:r>
      <w:r>
        <w:rPr>
          <w:rFonts w:hint="eastAsia" w:ascii="仿宋_GB2312" w:hAnsi="仿宋_GB2312" w:eastAsia="仿宋_GB2312" w:cs="仿宋_GB2312"/>
          <w:color w:val="000000"/>
          <w:sz w:val="32"/>
          <w:szCs w:val="32"/>
          <w:shd w:val="clear" w:color="auto" w:fill="FFFFFF"/>
        </w:rPr>
        <w:t>。</w:t>
      </w:r>
    </w:p>
    <w:p>
      <w:pPr>
        <w:pStyle w:val="8"/>
        <w:widowControl/>
        <w:shd w:val="clear" w:color="auto" w:fill="FFFFFF"/>
        <w:wordWrap/>
        <w:adjustRightInd/>
        <w:snapToGrid/>
        <w:spacing w:before="0" w:beforeAutospacing="0" w:after="0" w:afterAutospacing="0" w:line="520" w:lineRule="atLeast"/>
        <w:ind w:left="0" w:leftChars="0" w:right="0"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一、总体情况</w:t>
      </w:r>
    </w:p>
    <w:p>
      <w:pPr>
        <w:pStyle w:val="8"/>
        <w:widowControl/>
        <w:shd w:val="clear" w:color="auto" w:fill="FFFFFF"/>
        <w:wordWrap/>
        <w:adjustRightInd/>
        <w:snapToGrid/>
        <w:spacing w:before="0" w:beforeAutospacing="0" w:after="0" w:afterAutospacing="0" w:line="520" w:lineRule="atLeast"/>
        <w:ind w:left="0" w:leftChars="0" w:right="0" w:firstLine="640" w:firstLineChars="200"/>
        <w:jc w:val="left"/>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(一)加强专业队伍配置，抓好《条例》贯彻学习。</w:t>
      </w:r>
    </w:p>
    <w:p>
      <w:pPr>
        <w:pStyle w:val="8"/>
        <w:widowControl/>
        <w:shd w:val="clear" w:color="auto" w:fill="FFFFFF"/>
        <w:wordWrap/>
        <w:adjustRightInd/>
        <w:snapToGrid/>
        <w:spacing w:before="0" w:beforeAutospacing="0" w:after="0" w:afterAutospacing="0" w:line="520" w:lineRule="atLeast"/>
        <w:ind w:left="0" w:leftChars="0" w:right="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我县进一步加强政府信息公开队伍建设，明确将政务公开工作列入分管县领导分工并对外公开;加强对乡(镇)、县级部门政府信息公开工作的指导、培训、协调、监督，加大专业人员培训投入，强化队伍管理水平;通过县政府常务会学习《条例》、政府信息公开工作推进会等方式传达贯彻中央、省、市相关精神，</w:t>
      </w:r>
      <w:r>
        <w:rPr>
          <w:rFonts w:hint="eastAsia" w:ascii="仿宋_GB2312" w:hAnsi="仿宋_GB2312" w:eastAsia="仿宋_GB2312" w:cs="仿宋_GB2312"/>
          <w:color w:val="000000"/>
          <w:sz w:val="32"/>
          <w:szCs w:val="32"/>
          <w:highlight w:val="none"/>
          <w:lang w:val="en-US" w:eastAsia="zh-CN"/>
        </w:rPr>
        <w:t>增强</w:t>
      </w:r>
      <w:r>
        <w:rPr>
          <w:rFonts w:hint="eastAsia" w:ascii="仿宋_GB2312" w:hAnsi="仿宋_GB2312" w:eastAsia="仿宋_GB2312" w:cs="仿宋_GB2312"/>
          <w:color w:val="000000"/>
          <w:sz w:val="32"/>
          <w:szCs w:val="32"/>
        </w:rPr>
        <w:t>政府信息公开工作负责人的责任</w:t>
      </w:r>
      <w:r>
        <w:rPr>
          <w:rFonts w:hint="eastAsia" w:ascii="仿宋_GB2312" w:hAnsi="仿宋_GB2312" w:eastAsia="仿宋_GB2312" w:cs="仿宋_GB2312"/>
          <w:color w:val="000000"/>
          <w:sz w:val="32"/>
          <w:szCs w:val="32"/>
          <w:highlight w:val="none"/>
        </w:rPr>
        <w:t>意识</w:t>
      </w:r>
      <w:r>
        <w:rPr>
          <w:rFonts w:hint="eastAsia" w:ascii="仿宋_GB2312" w:hAnsi="仿宋_GB2312" w:eastAsia="仿宋_GB2312" w:cs="仿宋_GB2312"/>
          <w:color w:val="000000"/>
          <w:sz w:val="32"/>
          <w:szCs w:val="32"/>
        </w:rPr>
        <w:t>，全面提高我县各级各部门对政府信息公开工作重要性的认识。</w:t>
      </w:r>
    </w:p>
    <w:p>
      <w:pPr>
        <w:pStyle w:val="8"/>
        <w:widowControl/>
        <w:numPr>
          <w:ilvl w:val="0"/>
          <w:numId w:val="1"/>
        </w:numPr>
        <w:shd w:val="clear" w:color="auto" w:fill="FFFFFF"/>
        <w:wordWrap/>
        <w:adjustRightInd/>
        <w:snapToGrid/>
        <w:spacing w:before="0" w:beforeAutospacing="0" w:after="0" w:afterAutospacing="0" w:line="520" w:lineRule="atLeast"/>
        <w:ind w:left="0" w:leftChars="0" w:right="0" w:firstLine="640" w:firstLineChars="200"/>
        <w:jc w:val="left"/>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完善标准目录汇编，强化重点领域信息公开。</w:t>
      </w:r>
    </w:p>
    <w:p>
      <w:pPr>
        <w:pStyle w:val="8"/>
        <w:widowControl/>
        <w:numPr>
          <w:numId w:val="0"/>
        </w:numPr>
        <w:shd w:val="clear" w:color="auto" w:fill="FFFFFF"/>
        <w:wordWrap/>
        <w:adjustRightInd/>
        <w:snapToGrid/>
        <w:spacing w:before="0" w:beforeAutospacing="0" w:after="0" w:afterAutospacing="0" w:line="520" w:lineRule="atLeast"/>
        <w:ind w:left="0" w:leftChars="0" w:right="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2020年，我县按照上级部门有关规定，依法落实主动公开要求，全面推行政务公开标准化、规范化建设，完成了县级26个试点领域政务公开标准目录汇编和10个乡(镇)级政务公开标准目录汇编。</w:t>
      </w:r>
    </w:p>
    <w:p>
      <w:pPr>
        <w:pStyle w:val="8"/>
        <w:widowControl/>
        <w:shd w:val="clear" w:color="auto" w:fill="FFFFFF"/>
        <w:wordWrap/>
        <w:adjustRightInd/>
        <w:snapToGrid/>
        <w:spacing w:before="0" w:beforeAutospacing="0" w:after="0" w:afterAutospacing="0" w:line="520" w:lineRule="atLeast"/>
        <w:ind w:left="0" w:leftChars="0" w:right="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全年政府信息公开目录发布信息</w:t>
      </w:r>
      <w:r>
        <w:rPr>
          <w:rFonts w:hint="eastAsia" w:ascii="仿宋_GB2312" w:hAnsi="仿宋_GB2312" w:eastAsia="仿宋_GB2312" w:cs="仿宋_GB2312"/>
          <w:color w:val="000000"/>
          <w:sz w:val="32"/>
          <w:szCs w:val="32"/>
          <w:highlight w:val="none"/>
          <w:lang w:val="en-US" w:eastAsia="zh-CN"/>
        </w:rPr>
        <w:t>976</w:t>
      </w:r>
      <w:r>
        <w:rPr>
          <w:rFonts w:hint="eastAsia" w:ascii="仿宋_GB2312" w:hAnsi="仿宋_GB2312" w:eastAsia="仿宋_GB2312" w:cs="仿宋_GB2312"/>
          <w:color w:val="000000"/>
          <w:sz w:val="32"/>
          <w:szCs w:val="32"/>
          <w:highlight w:val="none"/>
        </w:rPr>
        <w:t>条</w:t>
      </w:r>
      <w:r>
        <w:rPr>
          <w:rFonts w:hint="eastAsia" w:ascii="仿宋_GB2312" w:hAnsi="仿宋_GB2312" w:eastAsia="仿宋_GB2312" w:cs="仿宋_GB2312"/>
          <w:color w:val="000000"/>
          <w:sz w:val="32"/>
          <w:szCs w:val="32"/>
        </w:rPr>
        <w:t>。同时，及时公开各类政务信息，将污染防治、脱贫攻坚、重大项目建设、公共服务、安全生产、教育医疗信息、保障性住房等涉及群众切身利益的各类事项作为公开重点内容，保障群众知情权，</w:t>
      </w:r>
      <w:r>
        <w:rPr>
          <w:rFonts w:hint="eastAsia" w:ascii="仿宋_GB2312" w:hAnsi="仿宋_GB2312" w:eastAsia="仿宋_GB2312" w:cs="仿宋_GB2312"/>
          <w:color w:val="000000"/>
          <w:sz w:val="32"/>
          <w:szCs w:val="32"/>
          <w:lang w:val="en-US" w:eastAsia="zh-CN"/>
        </w:rPr>
        <w:t>概况类信息更新353条；政务动态信息更新347条；信息公开目录信息更新276条。</w:t>
      </w:r>
    </w:p>
    <w:p>
      <w:pPr>
        <w:pStyle w:val="8"/>
        <w:widowControl/>
        <w:shd w:val="clear" w:color="auto" w:fill="FFFFFF"/>
        <w:wordWrap/>
        <w:adjustRightInd/>
        <w:snapToGrid/>
        <w:spacing w:before="0" w:beforeAutospacing="0" w:after="0" w:afterAutospacing="0" w:line="600" w:lineRule="atLeast"/>
        <w:ind w:firstLine="640" w:firstLineChars="200"/>
        <w:jc w:val="left"/>
        <w:textAlignment w:val="auto"/>
        <w:rPr>
          <w:rFonts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二、主动公开政府信息情况</w:t>
      </w:r>
    </w:p>
    <w:tbl>
      <w:tblPr>
        <w:tblW w:w="89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06"/>
        <w:gridCol w:w="2494"/>
        <w:gridCol w:w="1534"/>
        <w:gridCol w:w="1938"/>
      </w:tblGrid>
      <w:tr>
        <w:trPr>
          <w:trHeight w:val="366" w:hRule="atLeast"/>
        </w:trPr>
        <w:tc>
          <w:tcPr>
            <w:tcW w:w="8972" w:type="dxa"/>
            <w:gridSpan w:val="4"/>
            <w:tcBorders>
              <w:top w:val="single" w:color="000000" w:sz="8" w:space="0"/>
              <w:left w:val="single" w:color="000000" w:sz="8" w:space="0"/>
              <w:bottom w:val="single" w:color="000000" w:sz="8" w:space="0"/>
              <w:right w:val="single" w:color="000000" w:sz="8" w:space="0"/>
            </w:tcBorders>
            <w:shd w:val="clear" w:color="auto" w:fill="C6D9F1"/>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第二十条第（一）项</w:t>
            </w:r>
          </w:p>
        </w:tc>
      </w:tr>
      <w:tr>
        <w:trPr>
          <w:trHeight w:val="731"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信息内容</w:t>
            </w:r>
          </w:p>
        </w:tc>
        <w:tc>
          <w:tcPr>
            <w:tcW w:w="249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本年新</w:t>
            </w:r>
            <w:r>
              <w:rPr>
                <w:rFonts w:hint="eastAsia" w:ascii="宋体" w:hAnsi="宋体" w:cs="宋体"/>
                <w:kern w:val="0"/>
                <w:sz w:val="24"/>
                <w:szCs w:val="24"/>
              </w:rPr>
              <w:br/>
            </w:r>
            <w:r>
              <w:rPr>
                <w:rFonts w:hint="eastAsia" w:ascii="宋体" w:hAnsi="宋体" w:cs="宋体"/>
                <w:kern w:val="0"/>
                <w:sz w:val="24"/>
                <w:szCs w:val="24"/>
              </w:rPr>
              <w:t>制作数量</w:t>
            </w:r>
          </w:p>
        </w:tc>
        <w:tc>
          <w:tcPr>
            <w:tcW w:w="153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本年新</w:t>
            </w:r>
            <w:r>
              <w:rPr>
                <w:rFonts w:hint="eastAsia" w:ascii="宋体" w:hAnsi="宋体" w:cs="宋体"/>
                <w:kern w:val="0"/>
                <w:sz w:val="24"/>
                <w:szCs w:val="24"/>
              </w:rPr>
              <w:br/>
            </w:r>
            <w:r>
              <w:rPr>
                <w:rFonts w:hint="eastAsia" w:ascii="宋体" w:hAnsi="宋体" w:cs="宋体"/>
                <w:kern w:val="0"/>
                <w:sz w:val="24"/>
                <w:szCs w:val="24"/>
              </w:rPr>
              <w:t>公开数量</w:t>
            </w:r>
          </w:p>
        </w:tc>
        <w:tc>
          <w:tcPr>
            <w:tcW w:w="1938"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对外公开总数量</w:t>
            </w:r>
          </w:p>
        </w:tc>
      </w:tr>
      <w:tr>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规章</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规范性文件</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35</w:t>
            </w:r>
          </w:p>
        </w:tc>
      </w:tr>
      <w:tr>
        <w:trPr>
          <w:trHeight w:val="366" w:hRule="atLeast"/>
        </w:trPr>
        <w:tc>
          <w:tcPr>
            <w:tcW w:w="8972" w:type="dxa"/>
            <w:gridSpan w:val="4"/>
            <w:tcBorders>
              <w:top w:val="nil"/>
              <w:left w:val="single" w:color="000000" w:sz="8" w:space="0"/>
              <w:bottom w:val="single" w:color="000000" w:sz="8" w:space="0"/>
              <w:right w:val="single" w:color="000000" w:sz="8" w:space="0"/>
            </w:tcBorders>
            <w:shd w:val="clear" w:color="auto" w:fill="C6D9F1"/>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第二十条第（五）项</w:t>
            </w:r>
          </w:p>
        </w:tc>
      </w:tr>
      <w:tr>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信息内容</w:t>
            </w:r>
          </w:p>
        </w:tc>
        <w:tc>
          <w:tcPr>
            <w:tcW w:w="249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上一年项目数量</w:t>
            </w:r>
          </w:p>
        </w:tc>
        <w:tc>
          <w:tcPr>
            <w:tcW w:w="153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本年增/减</w:t>
            </w:r>
          </w:p>
        </w:tc>
        <w:tc>
          <w:tcPr>
            <w:tcW w:w="1938"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处理决定数量</w:t>
            </w:r>
          </w:p>
        </w:tc>
      </w:tr>
      <w:tr>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行政许可</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410</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8431</w:t>
            </w:r>
          </w:p>
        </w:tc>
      </w:tr>
      <w:tr>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其他对外管理服务事项</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23</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215</w:t>
            </w:r>
          </w:p>
        </w:tc>
      </w:tr>
      <w:tr>
        <w:trPr>
          <w:trHeight w:val="366" w:hRule="atLeast"/>
        </w:trPr>
        <w:tc>
          <w:tcPr>
            <w:tcW w:w="8972" w:type="dxa"/>
            <w:gridSpan w:val="4"/>
            <w:tcBorders>
              <w:top w:val="nil"/>
              <w:left w:val="single" w:color="000000" w:sz="8" w:space="0"/>
              <w:bottom w:val="single" w:color="000000" w:sz="8" w:space="0"/>
              <w:right w:val="single" w:color="000000" w:sz="8" w:space="0"/>
            </w:tcBorders>
            <w:shd w:val="clear" w:color="auto" w:fill="C6D9F1"/>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第二十条第（六）项</w:t>
            </w:r>
          </w:p>
        </w:tc>
      </w:tr>
      <w:tr>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信息内容</w:t>
            </w:r>
          </w:p>
        </w:tc>
        <w:tc>
          <w:tcPr>
            <w:tcW w:w="249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上一年项目数量</w:t>
            </w:r>
          </w:p>
        </w:tc>
        <w:tc>
          <w:tcPr>
            <w:tcW w:w="153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本年增/减</w:t>
            </w:r>
          </w:p>
        </w:tc>
        <w:tc>
          <w:tcPr>
            <w:tcW w:w="1938"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处理决定数量</w:t>
            </w:r>
          </w:p>
        </w:tc>
      </w:tr>
      <w:tr>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行政处罚</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165</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10900</w:t>
            </w:r>
          </w:p>
        </w:tc>
      </w:tr>
      <w:tr>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行政强制</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15</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26</w:t>
            </w:r>
          </w:p>
        </w:tc>
      </w:tr>
      <w:tr>
        <w:trPr>
          <w:trHeight w:val="366" w:hRule="atLeast"/>
        </w:trPr>
        <w:tc>
          <w:tcPr>
            <w:tcW w:w="8972" w:type="dxa"/>
            <w:gridSpan w:val="4"/>
            <w:tcBorders>
              <w:top w:val="nil"/>
              <w:left w:val="single" w:color="000000" w:sz="8" w:space="0"/>
              <w:bottom w:val="single" w:color="000000" w:sz="8" w:space="0"/>
              <w:right w:val="single" w:color="000000" w:sz="8" w:space="0"/>
            </w:tcBorders>
            <w:shd w:val="clear" w:color="auto" w:fill="C6D9F1"/>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第二十条第（八）项</w:t>
            </w:r>
          </w:p>
        </w:tc>
      </w:tr>
      <w:tr>
        <w:trPr>
          <w:trHeight w:val="381"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信息内容</w:t>
            </w:r>
          </w:p>
        </w:tc>
        <w:tc>
          <w:tcPr>
            <w:tcW w:w="249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上一年项目数量</w:t>
            </w:r>
          </w:p>
        </w:tc>
        <w:tc>
          <w:tcPr>
            <w:tcW w:w="3472" w:type="dxa"/>
            <w:gridSpan w:val="2"/>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本年增/减</w:t>
            </w:r>
          </w:p>
        </w:tc>
      </w:tr>
      <w:tr>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行政事业性收费</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c>
          <w:tcPr>
            <w:tcW w:w="3472"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减3</w:t>
            </w:r>
          </w:p>
        </w:tc>
      </w:tr>
      <w:tr>
        <w:trPr>
          <w:trHeight w:val="366" w:hRule="atLeast"/>
        </w:trPr>
        <w:tc>
          <w:tcPr>
            <w:tcW w:w="8972" w:type="dxa"/>
            <w:gridSpan w:val="4"/>
            <w:tcBorders>
              <w:top w:val="nil"/>
              <w:left w:val="single" w:color="000000" w:sz="8" w:space="0"/>
              <w:bottom w:val="single" w:color="000000" w:sz="8" w:space="0"/>
              <w:right w:val="single" w:color="000000" w:sz="8" w:space="0"/>
            </w:tcBorders>
            <w:shd w:val="clear" w:color="auto" w:fill="C6D9F1"/>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第二十条第（九）项</w:t>
            </w:r>
          </w:p>
        </w:tc>
      </w:tr>
      <w:tr>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信息内容</w:t>
            </w:r>
          </w:p>
        </w:tc>
        <w:tc>
          <w:tcPr>
            <w:tcW w:w="249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采购项目数量</w:t>
            </w:r>
          </w:p>
        </w:tc>
        <w:tc>
          <w:tcPr>
            <w:tcW w:w="3472" w:type="dxa"/>
            <w:gridSpan w:val="2"/>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采购总金额</w:t>
            </w:r>
          </w:p>
        </w:tc>
      </w:tr>
      <w:tr>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政府集中采购</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36</w:t>
            </w:r>
          </w:p>
        </w:tc>
        <w:tc>
          <w:tcPr>
            <w:tcW w:w="3472"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lang w:val="en-US" w:eastAsia="zh-CN"/>
              </w:rPr>
              <w:t>184636.5666（</w:t>
            </w:r>
            <w:r>
              <w:rPr>
                <w:rFonts w:hint="eastAsia" w:ascii="宋体" w:hAnsi="宋体" w:cs="宋体"/>
                <w:kern w:val="0"/>
                <w:sz w:val="24"/>
                <w:szCs w:val="24"/>
              </w:rPr>
              <w:t>万元</w:t>
            </w:r>
            <w:r>
              <w:rPr>
                <w:rFonts w:hint="eastAsia" w:ascii="宋体" w:hAnsi="宋体" w:cs="宋体"/>
                <w:kern w:val="0"/>
                <w:sz w:val="24"/>
                <w:szCs w:val="24"/>
                <w:lang w:val="en-US" w:eastAsia="zh-CN"/>
              </w:rPr>
              <w:t>）</w:t>
            </w:r>
          </w:p>
        </w:tc>
      </w:tr>
    </w:tbl>
    <w:p>
      <w:pPr>
        <w:widowControl/>
        <w:shd w:val="clear" w:color="auto" w:fill="FFFFFF"/>
        <w:wordWrap w:val="0"/>
        <w:spacing w:before="100" w:beforeAutospacing="1" w:line="540" w:lineRule="atLeast"/>
        <w:jc w:val="left"/>
        <w:rPr>
          <w:rFonts w:ascii="黑体" w:hAnsi="黑体" w:eastAsia="黑体" w:cs="宋体"/>
          <w:b w:val="0"/>
          <w:bCs w:val="0"/>
          <w:kern w:val="0"/>
          <w:sz w:val="32"/>
          <w:szCs w:val="32"/>
        </w:rPr>
      </w:pPr>
      <w:r>
        <w:rPr>
          <w:rFonts w:hint="eastAsia" w:ascii="微软雅黑" w:hAnsi="微软雅黑" w:eastAsia="微软雅黑" w:cs="宋体"/>
          <w:b/>
          <w:bCs/>
          <w:kern w:val="0"/>
          <w:sz w:val="24"/>
          <w:szCs w:val="24"/>
        </w:rPr>
        <w:t>　</w:t>
      </w:r>
      <w:r>
        <w:rPr>
          <w:rFonts w:hint="eastAsia" w:ascii="黑体" w:hAnsi="黑体" w:eastAsia="黑体" w:cs="宋体"/>
          <w:b/>
          <w:bCs/>
          <w:kern w:val="0"/>
          <w:sz w:val="32"/>
          <w:szCs w:val="32"/>
        </w:rPr>
        <w:t>　</w:t>
      </w:r>
      <w:r>
        <w:rPr>
          <w:rFonts w:hint="eastAsia" w:ascii="黑体" w:hAnsi="黑体" w:eastAsia="黑体" w:cs="宋体"/>
          <w:b w:val="0"/>
          <w:bCs w:val="0"/>
          <w:kern w:val="0"/>
          <w:sz w:val="32"/>
          <w:szCs w:val="32"/>
        </w:rPr>
        <w:t>三、收到和处理政府信息公开申请情况</w:t>
      </w:r>
    </w:p>
    <w:tbl>
      <w:tblPr>
        <w:tblW w:w="9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8"/>
        <w:gridCol w:w="1050"/>
        <w:gridCol w:w="1801"/>
        <w:gridCol w:w="794"/>
        <w:gridCol w:w="736"/>
        <w:gridCol w:w="736"/>
        <w:gridCol w:w="794"/>
        <w:gridCol w:w="959"/>
        <w:gridCol w:w="718"/>
        <w:gridCol w:w="689"/>
      </w:tblGrid>
      <w:tr>
        <w:tc>
          <w:tcPr>
            <w:tcW w:w="3659" w:type="dxa"/>
            <w:gridSpan w:val="3"/>
            <w:vMerge w:val="restar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（本列数据的勾稽关系为：第一项加第二项之和，等于第三项加第四项之和）</w:t>
            </w:r>
          </w:p>
        </w:tc>
        <w:tc>
          <w:tcPr>
            <w:tcW w:w="5426" w:type="dxa"/>
            <w:gridSpan w:val="7"/>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申请人情况</w:t>
            </w:r>
          </w:p>
        </w:tc>
      </w:tr>
      <w:tr>
        <w:tc>
          <w:tcPr>
            <w:tcW w:w="3659"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794"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自然人</w:t>
            </w:r>
          </w:p>
        </w:tc>
        <w:tc>
          <w:tcPr>
            <w:tcW w:w="3943" w:type="dxa"/>
            <w:gridSpan w:val="5"/>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法人或其他组织</w:t>
            </w:r>
          </w:p>
        </w:tc>
        <w:tc>
          <w:tcPr>
            <w:tcW w:w="689"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总计</w:t>
            </w:r>
          </w:p>
        </w:tc>
      </w:tr>
      <w:tr>
        <w:tc>
          <w:tcPr>
            <w:tcW w:w="3659"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794"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商业企业</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科研机构</w:t>
            </w:r>
          </w:p>
        </w:tc>
        <w:tc>
          <w:tcPr>
            <w:tcW w:w="79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社会公益组织</w:t>
            </w:r>
          </w:p>
        </w:tc>
        <w:tc>
          <w:tcPr>
            <w:tcW w:w="959"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法律服务机构</w:t>
            </w:r>
          </w:p>
        </w:tc>
        <w:tc>
          <w:tcPr>
            <w:tcW w:w="718"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其他</w:t>
            </w:r>
          </w:p>
        </w:tc>
        <w:tc>
          <w:tcPr>
            <w:tcW w:w="689"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cs="宋体"/>
                <w:kern w:val="0"/>
                <w:sz w:val="24"/>
                <w:szCs w:val="24"/>
              </w:rPr>
            </w:pPr>
          </w:p>
        </w:tc>
      </w:tr>
      <w:tr>
        <w:tc>
          <w:tcPr>
            <w:tcW w:w="3659"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一、本年新收政府信息公开申请数量</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3659"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二、上年结转政府信息公开申请数量</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三、本年度办理结果</w:t>
            </w:r>
          </w:p>
        </w:tc>
        <w:tc>
          <w:tcPr>
            <w:tcW w:w="2851"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（一）予以公开</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rPr>
                <w:rFonts w:ascii="宋体" w:hAnsi="宋体" w:cs="宋体"/>
                <w:kern w:val="0"/>
                <w:sz w:val="24"/>
                <w:szCs w:val="24"/>
              </w:rPr>
            </w:pP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9"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2851"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（二）部分公开（区分处理的，只计这一情形，不计其他情形）</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050"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（三）不予公开</w:t>
            </w:r>
          </w:p>
        </w:tc>
        <w:tc>
          <w:tcPr>
            <w:tcW w:w="18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1.属于国家秘密</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9"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050"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8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2.其他法律行政法规禁止公开</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050"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8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3.危及“三安全一稳定”</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050"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8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4.保护第三方合法权益</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050"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8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5.属于三类内部事务信息</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050"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8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6.属于四类过程性信息</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050"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8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7.属于行政执法案卷</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050"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8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8.属于行政查询事项</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050"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（四）无法提供</w:t>
            </w:r>
          </w:p>
        </w:tc>
        <w:tc>
          <w:tcPr>
            <w:tcW w:w="18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1.本机关不掌握相关政府信息</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050"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8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2.没有现成信息需要另行制作</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050"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8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3.补正后申请内容仍不明确</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050"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（五）不予处理</w:t>
            </w:r>
          </w:p>
        </w:tc>
        <w:tc>
          <w:tcPr>
            <w:tcW w:w="18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1.信访举报投诉类申请</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050"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8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2.重复申请</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050"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8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3.要求提供公开出版物</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050"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8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4.无正当理由大量反复申请</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050"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18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5.要求行政机关确认或重新出具已获取信息</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2851"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（六）其他处理</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80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2851"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（七）总计</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r>
        <w:tc>
          <w:tcPr>
            <w:tcW w:w="3659"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四、结转下年度继续办理</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736"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9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 </w:t>
            </w:r>
          </w:p>
        </w:tc>
        <w:tc>
          <w:tcPr>
            <w:tcW w:w="7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bl>
    <w:p>
      <w:pPr>
        <w:widowControl/>
        <w:shd w:val="clear" w:color="auto" w:fill="FFFFFF"/>
        <w:wordWrap w:val="0"/>
        <w:spacing w:before="100" w:beforeAutospacing="1" w:line="540" w:lineRule="atLeast"/>
        <w:jc w:val="left"/>
        <w:rPr>
          <w:rFonts w:ascii="黑体" w:hAnsi="黑体" w:eastAsia="黑体" w:cs="宋体"/>
          <w:kern w:val="0"/>
          <w:sz w:val="32"/>
          <w:szCs w:val="32"/>
        </w:rPr>
      </w:pPr>
      <w:r>
        <w:rPr>
          <w:rFonts w:hint="eastAsia" w:ascii="微软雅黑" w:hAnsi="微软雅黑" w:eastAsia="微软雅黑" w:cs="宋体"/>
          <w:b/>
          <w:bCs/>
          <w:kern w:val="0"/>
          <w:sz w:val="24"/>
          <w:szCs w:val="24"/>
        </w:rPr>
        <w:t>　</w:t>
      </w:r>
      <w:r>
        <w:rPr>
          <w:rFonts w:hint="eastAsia" w:ascii="黑体" w:hAnsi="黑体" w:eastAsia="黑体" w:cs="宋体"/>
          <w:b/>
          <w:bCs/>
          <w:kern w:val="0"/>
          <w:sz w:val="32"/>
          <w:szCs w:val="32"/>
        </w:rPr>
        <w:t>　</w:t>
      </w:r>
      <w:r>
        <w:rPr>
          <w:rFonts w:hint="eastAsia" w:ascii="黑体" w:hAnsi="黑体" w:eastAsia="黑体" w:cs="宋体"/>
          <w:b w:val="0"/>
          <w:bCs w:val="0"/>
          <w:kern w:val="0"/>
          <w:sz w:val="32"/>
          <w:szCs w:val="32"/>
        </w:rPr>
        <w:t>四、政府信息公开行政复议、行政诉讼情况</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2"/>
        <w:gridCol w:w="602"/>
        <w:gridCol w:w="603"/>
        <w:gridCol w:w="603"/>
        <w:gridCol w:w="661"/>
        <w:gridCol w:w="557"/>
        <w:gridCol w:w="603"/>
        <w:gridCol w:w="603"/>
        <w:gridCol w:w="603"/>
        <w:gridCol w:w="621"/>
        <w:gridCol w:w="604"/>
        <w:gridCol w:w="604"/>
        <w:gridCol w:w="604"/>
        <w:gridCol w:w="604"/>
        <w:gridCol w:w="601"/>
      </w:tblGrid>
      <w:tr>
        <w:tc>
          <w:tcPr>
            <w:tcW w:w="3071" w:type="dxa"/>
            <w:gridSpan w:val="5"/>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行政复议</w:t>
            </w:r>
          </w:p>
        </w:tc>
        <w:tc>
          <w:tcPr>
            <w:tcW w:w="6004" w:type="dxa"/>
            <w:gridSpan w:val="10"/>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行政诉讼</w:t>
            </w:r>
          </w:p>
        </w:tc>
      </w:tr>
      <w:tr>
        <w:tc>
          <w:tcPr>
            <w:tcW w:w="602"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结果维持</w:t>
            </w:r>
          </w:p>
        </w:tc>
        <w:tc>
          <w:tcPr>
            <w:tcW w:w="602"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结果纠正</w:t>
            </w:r>
          </w:p>
        </w:tc>
        <w:tc>
          <w:tcPr>
            <w:tcW w:w="603"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其他结果</w:t>
            </w:r>
          </w:p>
        </w:tc>
        <w:tc>
          <w:tcPr>
            <w:tcW w:w="603"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尚未审结</w:t>
            </w:r>
          </w:p>
        </w:tc>
        <w:tc>
          <w:tcPr>
            <w:tcW w:w="661"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总计</w:t>
            </w:r>
          </w:p>
        </w:tc>
        <w:tc>
          <w:tcPr>
            <w:tcW w:w="2987" w:type="dxa"/>
            <w:gridSpan w:val="5"/>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未经复议直接起诉</w:t>
            </w:r>
          </w:p>
        </w:tc>
        <w:tc>
          <w:tcPr>
            <w:tcW w:w="3017" w:type="dxa"/>
            <w:gridSpan w:val="5"/>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复议后起诉</w:t>
            </w:r>
          </w:p>
        </w:tc>
      </w:tr>
      <w:tr>
        <w:tc>
          <w:tcPr>
            <w:tcW w:w="602"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602" w:type="dxa"/>
            <w:vMerge w:val="continue"/>
            <w:tcBorders>
              <w:top w:val="nil"/>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603"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603"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661"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cs="宋体"/>
                <w:kern w:val="0"/>
                <w:sz w:val="24"/>
                <w:szCs w:val="24"/>
              </w:rPr>
            </w:pPr>
          </w:p>
        </w:tc>
        <w:tc>
          <w:tcPr>
            <w:tcW w:w="55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结果维持</w:t>
            </w: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结果纠正</w:t>
            </w:r>
          </w:p>
        </w:tc>
        <w:tc>
          <w:tcPr>
            <w:tcW w:w="603"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其他结果</w:t>
            </w:r>
          </w:p>
        </w:tc>
        <w:tc>
          <w:tcPr>
            <w:tcW w:w="603"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尚未审结</w:t>
            </w:r>
          </w:p>
        </w:tc>
        <w:tc>
          <w:tcPr>
            <w:tcW w:w="621"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总计</w:t>
            </w:r>
          </w:p>
        </w:tc>
        <w:tc>
          <w:tcPr>
            <w:tcW w:w="60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结果维持</w:t>
            </w:r>
          </w:p>
        </w:tc>
        <w:tc>
          <w:tcPr>
            <w:tcW w:w="60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结果纠正</w:t>
            </w:r>
          </w:p>
        </w:tc>
        <w:tc>
          <w:tcPr>
            <w:tcW w:w="60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其他结果</w:t>
            </w:r>
          </w:p>
        </w:tc>
        <w:tc>
          <w:tcPr>
            <w:tcW w:w="60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尚未审结</w:t>
            </w:r>
          </w:p>
        </w:tc>
        <w:tc>
          <w:tcPr>
            <w:tcW w:w="601"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总计</w:t>
            </w:r>
          </w:p>
        </w:tc>
      </w:tr>
      <w:tr>
        <w:tc>
          <w:tcPr>
            <w:tcW w:w="602"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6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55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c>
          <w:tcPr>
            <w:tcW w:w="62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p>
        </w:tc>
        <w:tc>
          <w:tcPr>
            <w:tcW w:w="6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0</w:t>
            </w:r>
          </w:p>
        </w:tc>
      </w:tr>
    </w:tbl>
    <w:p>
      <w:pPr>
        <w:pStyle w:val="8"/>
        <w:widowControl/>
        <w:shd w:val="clear" w:color="auto" w:fill="FFFFFF"/>
        <w:wordWrap/>
        <w:adjustRightInd/>
        <w:snapToGrid/>
        <w:spacing w:before="0" w:beforeAutospacing="0" w:after="0" w:afterAutospacing="0" w:line="520" w:lineRule="exact"/>
        <w:ind w:left="0" w:leftChars="0" w:right="0"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存在的主要问题及改进情况</w:t>
      </w:r>
    </w:p>
    <w:p>
      <w:pPr>
        <w:pStyle w:val="8"/>
        <w:widowControl/>
        <w:shd w:val="clear" w:color="auto" w:fill="FFFFFF"/>
        <w:wordWrap/>
        <w:adjustRightInd/>
        <w:snapToGrid/>
        <w:spacing w:before="0" w:beforeAutospacing="0" w:after="0" w:afterAutospacing="0" w:line="52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color w:val="000000"/>
          <w:sz w:val="32"/>
          <w:szCs w:val="32"/>
          <w:lang w:val="en-US" w:eastAsia="zh-CN"/>
        </w:rPr>
        <w:t>下一步，</w:t>
      </w:r>
      <w:r>
        <w:rPr>
          <w:rStyle w:val="7"/>
          <w:rFonts w:hint="eastAsia" w:ascii="仿宋_GB2312" w:hAnsi="仿宋_GB2312" w:eastAsia="仿宋_GB2312" w:cs="仿宋_GB2312"/>
          <w:b w:val="0"/>
          <w:bCs w:val="0"/>
          <w:color w:val="000000"/>
          <w:kern w:val="0"/>
          <w:sz w:val="32"/>
          <w:szCs w:val="32"/>
          <w:shd w:val="clear" w:color="auto" w:fill="FFFFFF"/>
          <w:lang w:val="en-US" w:eastAsia="zh-CN" w:bidi="ar-SA"/>
        </w:rPr>
        <w:t xml:space="preserve">我们将进一步全面推进政府信息公开工作，主要做好以下工作： </w:t>
      </w:r>
    </w:p>
    <w:p>
      <w:pPr>
        <w:pStyle w:val="8"/>
        <w:widowControl/>
        <w:shd w:val="clear" w:color="auto" w:fill="FFFFFF"/>
        <w:wordWrap/>
        <w:adjustRightInd/>
        <w:snapToGrid/>
        <w:spacing w:before="0" w:beforeAutospacing="0" w:after="0" w:afterAutospacing="0" w:line="520" w:lineRule="exact"/>
        <w:ind w:left="0" w:leftChars="0" w:right="0" w:firstLine="639" w:firstLineChars="199"/>
        <w:jc w:val="left"/>
        <w:textAlignment w:val="auto"/>
        <w:outlineLvl w:val="9"/>
        <w:rPr>
          <w:rFonts w:hint="eastAsia" w:ascii="仿宋_GB2312" w:hAnsi="仿宋_GB2312" w:eastAsia="仿宋_GB2312" w:cs="仿宋_GB2312"/>
          <w:color w:val="000000"/>
          <w:sz w:val="32"/>
          <w:szCs w:val="32"/>
          <w:shd w:val="clear" w:color="auto" w:fill="FFFFFF"/>
        </w:rPr>
      </w:pPr>
      <w:r>
        <w:rPr>
          <w:rStyle w:val="7"/>
          <w:rFonts w:hint="eastAsia" w:ascii="楷体_GB2312" w:hAnsi="楷体_GB2312" w:eastAsia="楷体_GB2312" w:cs="楷体_GB2312"/>
          <w:color w:val="000000"/>
          <w:sz w:val="32"/>
          <w:szCs w:val="32"/>
          <w:shd w:val="clear" w:color="auto" w:fill="FFFFFF"/>
        </w:rPr>
        <w:t>一是进一步健全完善公开制度体系。</w:t>
      </w:r>
      <w:r>
        <w:rPr>
          <w:rFonts w:hint="eastAsia" w:ascii="仿宋_GB2312" w:hAnsi="仿宋_GB2312" w:eastAsia="仿宋_GB2312" w:cs="仿宋_GB2312"/>
          <w:color w:val="000000"/>
          <w:sz w:val="32"/>
          <w:szCs w:val="32"/>
          <w:shd w:val="clear" w:color="auto" w:fill="FFFFFF"/>
        </w:rPr>
        <w:t>研究制订贯彻全面推进政务公开工作的实施办法，督促各地各部门建立健全政府信息公开工作领导和协调机制，建立健全政府信息公开申请接受、登记、办理、审核、答复、归档环节工作制度，建立完善政府信息公开工作考核、社会评议、工作统计和举报办理制度。推进政府信息公开标准化建设，继续完善更新全省政府信息公开基本目录。</w:t>
      </w:r>
    </w:p>
    <w:p>
      <w:pPr>
        <w:pStyle w:val="8"/>
        <w:widowControl/>
        <w:shd w:val="clear" w:color="auto" w:fill="FFFFFF"/>
        <w:wordWrap/>
        <w:adjustRightInd/>
        <w:snapToGrid/>
        <w:spacing w:before="0" w:beforeAutospacing="0" w:after="0" w:afterAutospacing="0" w:line="520" w:lineRule="exact"/>
        <w:ind w:left="0" w:leftChars="0" w:right="0" w:firstLine="639" w:firstLineChars="199"/>
        <w:jc w:val="left"/>
        <w:textAlignment w:val="auto"/>
        <w:outlineLvl w:val="9"/>
        <w:rPr>
          <w:rFonts w:hint="eastAsia" w:ascii="仿宋_GB2312" w:hAnsi="仿宋_GB2312" w:eastAsia="仿宋_GB2312" w:cs="仿宋_GB2312"/>
          <w:color w:val="000000"/>
          <w:sz w:val="32"/>
          <w:szCs w:val="32"/>
          <w:shd w:val="clear" w:color="auto" w:fill="FFFFFF"/>
        </w:rPr>
      </w:pPr>
      <w:r>
        <w:rPr>
          <w:rStyle w:val="7"/>
          <w:rFonts w:hint="eastAsia" w:ascii="楷体_GB2312" w:hAnsi="楷体_GB2312" w:eastAsia="楷体_GB2312" w:cs="楷体_GB2312"/>
          <w:color w:val="000000"/>
          <w:sz w:val="32"/>
          <w:szCs w:val="32"/>
          <w:shd w:val="clear" w:color="auto" w:fill="FFFFFF"/>
        </w:rPr>
        <w:t>二是着力深化重点领域信息公开。</w:t>
      </w:r>
      <w:r>
        <w:rPr>
          <w:rFonts w:hint="eastAsia" w:ascii="仿宋_GB2312" w:hAnsi="仿宋_GB2312" w:eastAsia="仿宋_GB2312" w:cs="仿宋_GB2312"/>
          <w:color w:val="000000"/>
          <w:sz w:val="32"/>
          <w:szCs w:val="32"/>
          <w:shd w:val="clear" w:color="auto" w:fill="FFFFFF"/>
        </w:rPr>
        <w:t>加大推进权责清单、市场准入负面清单、市场监管、财政资金、公共资源配置、重大项目建设、减税降费、精准扶贫、就业创业、社会救助、环境保护等重点领域信息公开力度，分专题进行梳理、汇总，通过政府网站开设专栏等进行集中发布，切实提升公开质量和实效，更好地服务经济社会发展和民生改善。</w:t>
      </w:r>
    </w:p>
    <w:p>
      <w:pPr>
        <w:pStyle w:val="8"/>
        <w:widowControl/>
        <w:shd w:val="clear" w:color="auto" w:fill="FFFFFF"/>
        <w:wordWrap/>
        <w:adjustRightInd/>
        <w:snapToGrid/>
        <w:spacing w:before="0" w:beforeAutospacing="0" w:after="0" w:afterAutospacing="0" w:line="520" w:lineRule="exact"/>
        <w:ind w:left="0" w:leftChars="0" w:right="0" w:firstLine="643" w:firstLineChars="200"/>
        <w:jc w:val="left"/>
        <w:textAlignment w:val="auto"/>
        <w:outlineLvl w:val="9"/>
        <w:rPr>
          <w:rFonts w:hint="eastAsia" w:ascii="仿宋_GB2312" w:hAnsi="仿宋_GB2312" w:eastAsia="仿宋_GB2312" w:cs="仿宋_GB2312"/>
          <w:color w:val="000000"/>
          <w:sz w:val="32"/>
          <w:szCs w:val="32"/>
        </w:rPr>
      </w:pPr>
      <w:r>
        <w:rPr>
          <w:rStyle w:val="7"/>
          <w:rFonts w:hint="eastAsia" w:ascii="楷体_GB2312" w:hAnsi="楷体_GB2312" w:eastAsia="楷体_GB2312" w:cs="楷体_GB2312"/>
          <w:color w:val="000000"/>
          <w:sz w:val="32"/>
          <w:szCs w:val="32"/>
        </w:rPr>
        <w:t>三是大力推进公开信息化建设。</w:t>
      </w:r>
      <w:r>
        <w:rPr>
          <w:rFonts w:hint="eastAsia" w:ascii="仿宋_GB2312" w:hAnsi="仿宋_GB2312" w:eastAsia="仿宋_GB2312" w:cs="仿宋_GB2312"/>
          <w:color w:val="000000"/>
          <w:sz w:val="32"/>
          <w:szCs w:val="32"/>
        </w:rPr>
        <w:t xml:space="preserve">积极顺应“互联网+”发展趋势，加大以政府门户网站为核心的公开集约化平台体系建设，整合信息公开平台资源，健全信息发布更新机制。 </w:t>
      </w:r>
    </w:p>
    <w:p>
      <w:pPr>
        <w:pStyle w:val="8"/>
        <w:widowControl/>
        <w:shd w:val="clear" w:color="auto" w:fill="FFFFFF"/>
        <w:wordWrap/>
        <w:adjustRightInd/>
        <w:snapToGrid/>
        <w:spacing w:before="0" w:beforeAutospacing="0" w:after="0" w:afterAutospacing="0" w:line="520" w:lineRule="exact"/>
        <w:ind w:left="0" w:leftChars="0" w:right="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楷体_GB2312" w:hAnsi="楷体_GB2312" w:eastAsia="楷体_GB2312" w:cs="楷体_GB2312"/>
          <w:color w:val="000000"/>
          <w:sz w:val="32"/>
          <w:szCs w:val="32"/>
        </w:rPr>
        <w:t>　</w:t>
      </w:r>
      <w:r>
        <w:rPr>
          <w:rStyle w:val="7"/>
          <w:rFonts w:hint="eastAsia" w:ascii="楷体_GB2312" w:hAnsi="楷体_GB2312" w:eastAsia="楷体_GB2312" w:cs="楷体_GB2312"/>
          <w:color w:val="000000"/>
          <w:sz w:val="32"/>
          <w:szCs w:val="32"/>
        </w:rPr>
        <w:t>四是努力扩大政务的公众参与。</w:t>
      </w:r>
      <w:r>
        <w:rPr>
          <w:rFonts w:hint="eastAsia" w:ascii="仿宋_GB2312" w:hAnsi="仿宋_GB2312" w:eastAsia="仿宋_GB2312" w:cs="仿宋_GB2312"/>
          <w:color w:val="000000"/>
          <w:sz w:val="32"/>
          <w:szCs w:val="32"/>
        </w:rPr>
        <w:t>积极推进通过政府信息公开让公众更大程度参与政府政策制定和社会治理，大力推进重要政策解读和政策制定工作同步考虑、同步安排，提高解读的针对性、科学性、可读性和权威性，加强重大政务舆情回应工作，及时回应社会关切，通过政府信息公开搭建公众参与政策制定、执行和监督的桥梁，畅通问政于民、问需于民、问计于民渠道。</w:t>
      </w:r>
    </w:p>
    <w:p>
      <w:pPr>
        <w:pStyle w:val="8"/>
        <w:widowControl/>
        <w:shd w:val="clear" w:color="auto" w:fill="FFFFFF"/>
        <w:wordWrap/>
        <w:adjustRightInd/>
        <w:snapToGrid/>
        <w:spacing w:before="0" w:beforeAutospacing="0" w:after="0" w:afterAutospacing="0" w:line="520" w:lineRule="exact"/>
        <w:ind w:left="0" w:leftChars="0" w:right="0" w:firstLine="639" w:firstLineChars="199"/>
        <w:jc w:val="left"/>
        <w:textAlignment w:val="auto"/>
        <w:outlineLvl w:val="9"/>
        <w:rPr>
          <w:rFonts w:hint="eastAsia" w:ascii="仿宋_GB2312" w:hAnsi="仿宋_GB2312" w:eastAsia="仿宋_GB2312" w:cs="仿宋_GB2312"/>
          <w:color w:val="000000"/>
          <w:sz w:val="32"/>
          <w:szCs w:val="32"/>
        </w:rPr>
      </w:pPr>
      <w:r>
        <w:rPr>
          <w:rStyle w:val="7"/>
          <w:rFonts w:hint="eastAsia" w:ascii="楷体_GB2312" w:hAnsi="楷体_GB2312" w:eastAsia="楷体_GB2312" w:cs="楷体_GB2312"/>
          <w:color w:val="000000"/>
          <w:sz w:val="32"/>
          <w:szCs w:val="32"/>
        </w:rPr>
        <w:t>五是着力加强公开工作队伍建设。</w:t>
      </w:r>
      <w:r>
        <w:rPr>
          <w:rFonts w:hint="eastAsia" w:ascii="仿宋_GB2312" w:hAnsi="仿宋_GB2312" w:eastAsia="仿宋_GB2312" w:cs="仿宋_GB2312"/>
          <w:color w:val="000000"/>
          <w:sz w:val="32"/>
          <w:szCs w:val="32"/>
        </w:rPr>
        <w:t>督促各相关单位加强政府信息公开专门机构建设，充实人员力量，设备等工作条件。制定业务培训计划，分级分层组织实施，切实提高人员队伍的综合素质和</w:t>
      </w:r>
      <w:bookmarkStart w:id="0" w:name="_GoBack"/>
      <w:bookmarkEnd w:id="0"/>
      <w:r>
        <w:rPr>
          <w:rFonts w:hint="eastAsia" w:ascii="仿宋_GB2312" w:hAnsi="仿宋_GB2312" w:eastAsia="仿宋_GB2312" w:cs="仿宋_GB2312"/>
          <w:color w:val="000000"/>
          <w:sz w:val="32"/>
          <w:szCs w:val="32"/>
        </w:rPr>
        <w:t>业务能力。</w:t>
      </w:r>
    </w:p>
    <w:p>
      <w:pPr>
        <w:pStyle w:val="8"/>
        <w:widowControl/>
        <w:shd w:val="clear" w:color="auto" w:fill="FFFFFF"/>
        <w:wordWrap/>
        <w:adjustRightInd/>
        <w:snapToGrid/>
        <w:spacing w:before="0" w:beforeAutospacing="0" w:after="0" w:afterAutospacing="0" w:line="520" w:lineRule="exact"/>
        <w:ind w:left="0" w:leftChars="0" w:right="0" w:firstLine="480"/>
        <w:jc w:val="left"/>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我们在今后的实际工作中，加强对政务公开的管理，定期做好信息维护，不断更新和充实栏目内容，确保政务信息公开高效运行认真落实市政府办公室有关政务公开工作的部署要求，制定切实有效的措施，巩固信息公开成果，充分发挥政务公开平台的作用</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确保政务公开工作有序开展。</w:t>
      </w:r>
    </w:p>
    <w:p>
      <w:pPr>
        <w:pStyle w:val="8"/>
        <w:widowControl/>
        <w:numPr>
          <w:ilvl w:val="0"/>
          <w:numId w:val="2"/>
        </w:numPr>
        <w:shd w:val="clear" w:color="auto" w:fill="FFFFFF"/>
        <w:wordWrap/>
        <w:adjustRightInd/>
        <w:snapToGrid/>
        <w:spacing w:before="0" w:beforeAutospacing="0" w:after="0" w:afterAutospacing="0" w:line="520" w:lineRule="exact"/>
        <w:ind w:left="0" w:leftChars="0" w:right="0" w:firstLine="640" w:firstLineChars="200"/>
        <w:jc w:val="left"/>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其他需要报告的事项</w:t>
      </w:r>
    </w:p>
    <w:p>
      <w:pPr>
        <w:pStyle w:val="8"/>
        <w:widowControl/>
        <w:numPr>
          <w:numId w:val="0"/>
        </w:numPr>
        <w:shd w:val="clear" w:color="auto" w:fill="FFFFFF"/>
        <w:wordWrap/>
        <w:adjustRightInd/>
        <w:snapToGrid/>
        <w:spacing w:before="0" w:beforeAutospacing="0" w:after="0" w:afterAutospacing="0" w:line="52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无</w:t>
      </w:r>
      <w:r>
        <w:rPr>
          <w:rFonts w:hint="eastAsia" w:ascii="仿宋_GB2312" w:hAnsi="仿宋_GB2312" w:eastAsia="仿宋_GB2312" w:cs="仿宋_GB2312"/>
          <w:color w:val="000000"/>
          <w:kern w:val="0"/>
          <w:sz w:val="32"/>
          <w:szCs w:val="32"/>
          <w:lang w:eastAsia="zh-CN"/>
        </w:rPr>
        <w:t>。</w:t>
      </w:r>
    </w:p>
    <w:p>
      <w:pPr>
        <w:pStyle w:val="8"/>
        <w:widowControl/>
        <w:numPr>
          <w:numId w:val="0"/>
        </w:numPr>
        <w:shd w:val="clear" w:color="auto" w:fill="FFFFFF"/>
        <w:wordWrap/>
        <w:adjustRightInd/>
        <w:snapToGrid/>
        <w:spacing w:before="0" w:beforeAutospacing="0" w:after="0" w:afterAutospacing="0" w:line="520" w:lineRule="exact"/>
        <w:ind w:left="0" w:leftChars="0" w:right="0" w:firstLine="640" w:firstLineChars="200"/>
        <w:jc w:val="righ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乡宁县人民政府</w:t>
      </w:r>
    </w:p>
    <w:p>
      <w:pPr>
        <w:pStyle w:val="8"/>
        <w:widowControl/>
        <w:numPr>
          <w:numId w:val="0"/>
        </w:numPr>
        <w:shd w:val="clear" w:color="auto" w:fill="FFFFFF"/>
        <w:wordWrap/>
        <w:adjustRightInd/>
        <w:snapToGrid/>
        <w:spacing w:before="0" w:beforeAutospacing="0" w:after="0" w:afterAutospacing="0" w:line="520" w:lineRule="exact"/>
        <w:ind w:left="0" w:leftChars="0" w:right="0" w:firstLine="640" w:firstLineChars="200"/>
        <w:jc w:val="righ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2021年1月29日</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18"/>
        <w:lang w:val="en-US" w:eastAsia="zh-CN" w:bidi="ar-SA"/>
      </w:rPr>
      <w:pict>
        <v:shape id="_x0000_s4097"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1">
      <w:start w:val="6"/>
      <w:numFmt w:val="chineseCounting"/>
      <w:suff w:val="nothing"/>
      <w:lvlText w:val="%1、"/>
      <w:lvlJc w:val="left"/>
    </w:lvl>
  </w:abstractNum>
  <w:abstractNum w:abstractNumId="1">
    <w:nsid w:val="00000001"/>
    <w:multiLevelType w:val="singleLevel"/>
    <w:tmpl w:val="00000001"/>
    <w:lvl w:ilvl="0" w:tentative="1">
      <w:start w:val="2"/>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sz w:val="18"/>
      <w:szCs w:val="18"/>
    </w:rPr>
  </w:style>
  <w:style w:type="character" w:customStyle="1" w:styleId="3">
    <w:name w:val="页脚 Char"/>
    <w:basedOn w:val="4"/>
    <w:link w:val="2"/>
    <w:semiHidden/>
    <w:rPr>
      <w:sz w:val="18"/>
      <w:szCs w:val="18"/>
    </w:rPr>
  </w:style>
  <w:style w:type="paragraph" w:styleId="5">
    <w:name w:val="header"/>
    <w:basedOn w:val="1"/>
    <w:link w:val="6"/>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5"/>
    <w:semiHidden/>
    <w:rPr>
      <w:sz w:val="18"/>
      <w:szCs w:val="18"/>
    </w:rPr>
  </w:style>
  <w:style w:type="character" w:styleId="7">
    <w:name w:val="Strong"/>
    <w:basedOn w:val="4"/>
    <w:rPr>
      <w:b/>
      <w:bCs/>
    </w:rPr>
  </w:style>
  <w:style w:type="paragraph" w:customStyle="1" w:styleId="8">
    <w:name w:val="Normal (Web)"/>
    <w:basedOn w:val="1"/>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422</Words>
  <Characters>2411</Characters>
  <Lines>20</Lines>
  <Paragraphs>5</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2021-02-02T23:36:00Z</dcterms:created>
  <dc:creator>hp</dc:creator>
  <dcterms:modified xsi:type="dcterms:W3CDTF">2022-01-04T22:17:57Z</dcterms:modified>
  <dc:title>爱很简单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