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color w:val="000000"/>
        </w:rPr>
      </w:pPr>
      <w:r>
        <w:rPr>
          <w:rFonts w:hint="eastAsia"/>
          <w:color w:val="000000"/>
          <w:sz w:val="44"/>
          <w:szCs w:val="44"/>
          <w:lang w:eastAsia="zh-CN"/>
        </w:rPr>
        <w:t>乡宁</w:t>
      </w:r>
      <w:r>
        <w:rPr>
          <w:rFonts w:hint="eastAsia"/>
          <w:color w:val="000000"/>
          <w:sz w:val="44"/>
          <w:szCs w:val="44"/>
        </w:rPr>
        <w:t>县2019年“三公”经费预算</w:t>
      </w:r>
    </w:p>
    <w:p>
      <w:pPr>
        <w:pStyle w:val="2"/>
        <w:spacing w:before="0" w:beforeAutospacing="0" w:after="0" w:afterAutospacing="0"/>
        <w:jc w:val="center"/>
        <w:rPr>
          <w:color w:val="000000"/>
        </w:rPr>
      </w:pPr>
      <w:r>
        <w:rPr>
          <w:rFonts w:hint="eastAsia"/>
          <w:color w:val="000000"/>
          <w:sz w:val="44"/>
          <w:szCs w:val="44"/>
        </w:rPr>
        <w:t>情况说明</w:t>
      </w:r>
    </w:p>
    <w:p>
      <w:pPr>
        <w:pStyle w:val="2"/>
        <w:spacing w:before="0" w:beforeAutospacing="0" w:after="0" w:afterAutospacing="0" w:line="645" w:lineRule="atLeast"/>
        <w:ind w:firstLine="645"/>
        <w:rPr>
          <w:color w:val="000000"/>
        </w:rPr>
      </w:pPr>
      <w:r>
        <w:rPr>
          <w:rFonts w:ascii="Calibri" w:hAnsi="Calibri" w:eastAsia="仿宋" w:cs="Calibri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645" w:lineRule="atLeast"/>
        <w:ind w:firstLine="645"/>
        <w:rPr>
          <w:color w:val="000000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乡宁</w:t>
      </w:r>
      <w:r>
        <w:rPr>
          <w:rFonts w:hint="eastAsia" w:ascii="仿宋" w:hAnsi="仿宋" w:eastAsia="仿宋"/>
          <w:color w:val="000000"/>
          <w:sz w:val="32"/>
          <w:szCs w:val="32"/>
        </w:rPr>
        <w:t>县2019年县级安排“三公”经费预算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1370</w:t>
      </w:r>
      <w:r>
        <w:rPr>
          <w:rFonts w:hint="eastAsia" w:ascii="仿宋" w:hAnsi="仿宋" w:eastAsia="仿宋"/>
          <w:color w:val="000000"/>
          <w:sz w:val="32"/>
          <w:szCs w:val="32"/>
        </w:rPr>
        <w:t>万元，同比下降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color w:val="000000"/>
          <w:sz w:val="32"/>
          <w:szCs w:val="32"/>
        </w:rPr>
        <w:t>%。其中:公务接待费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259</w:t>
      </w:r>
      <w:r>
        <w:rPr>
          <w:rFonts w:hint="eastAsia" w:ascii="仿宋" w:hAnsi="仿宋" w:eastAsia="仿宋"/>
          <w:color w:val="000000"/>
          <w:sz w:val="32"/>
          <w:szCs w:val="32"/>
        </w:rPr>
        <w:t>万元，同比下降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color w:val="000000"/>
          <w:sz w:val="32"/>
          <w:szCs w:val="32"/>
        </w:rPr>
        <w:t>%；公务车辆购置及运行费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1111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同比下降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8.7</w:t>
      </w:r>
      <w:r>
        <w:rPr>
          <w:rFonts w:hint="eastAsia"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今年无因公出国（境）经费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减少主要原因是我县财政加强预算管理，厉行勤俭节约，严控“三公”经费。</w:t>
      </w:r>
    </w:p>
    <w:p>
      <w:pPr>
        <w:pStyle w:val="2"/>
        <w:spacing w:before="0" w:beforeAutospacing="0" w:after="0" w:afterAutospacing="0" w:line="645" w:lineRule="atLeast"/>
        <w:ind w:left="315" w:firstLine="645"/>
        <w:rPr>
          <w:color w:val="000000"/>
        </w:rPr>
      </w:pPr>
      <w:bookmarkStart w:id="0" w:name="_GoBack"/>
      <w:bookmarkEnd w:id="0"/>
    </w:p>
    <w:p>
      <w:pPr>
        <w:pStyle w:val="2"/>
        <w:spacing w:before="0" w:beforeAutospacing="0" w:after="0" w:afterAutospacing="0" w:line="645" w:lineRule="atLeast"/>
        <w:ind w:firstLine="645"/>
        <w:rPr>
          <w:color w:val="000000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5F"/>
    <w:rsid w:val="00545E00"/>
    <w:rsid w:val="00A0475F"/>
    <w:rsid w:val="3FF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2019-04-12T02:40:00Z</dcterms:created>
  <dc:creator>Administrator</dc:creator>
  <cp:lastModifiedBy>Administrator</cp:lastModifiedBy>
  <dcterms:modified xsi:type="dcterms:W3CDTF">2019-04-12T07:35:45Z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