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乡宁县工信局</w:t>
      </w:r>
      <w:r>
        <w:rPr>
          <w:rFonts w:hint="eastAsia"/>
          <w:sz w:val="44"/>
          <w:szCs w:val="44"/>
        </w:rPr>
        <w:t>基层政务公开标准目录</w:t>
      </w:r>
    </w:p>
    <w:p>
      <w:pPr>
        <w:jc w:val="center"/>
        <w:rPr>
          <w:rFonts w:hint="eastAsia"/>
        </w:rPr>
      </w:pPr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93"/>
        <w:gridCol w:w="1005"/>
        <w:gridCol w:w="2895"/>
        <w:gridCol w:w="2227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2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行政法规规章和规范性文件</w:t>
            </w:r>
          </w:p>
        </w:tc>
        <w:tc>
          <w:tcPr>
            <w:tcW w:w="100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行政法规规章和规范性文件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涉及工业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信息化领域的行政法规、规章和规范性文件。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乡宁县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重大决策公开</w:t>
            </w:r>
          </w:p>
        </w:tc>
        <w:tc>
          <w:tcPr>
            <w:tcW w:w="100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重大决策公开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涉及公共利益和公众权益的重大事项，除依法应当保密的外，要主动公开决策草案、决策依据，提出意见的方式和期限，征求意见的采纳情况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1.《国务院办公厅关于印发 2019 年政务公 开工作要点的通知》（国办发〔2019〕14 号） 2.《重大行政决策暂行条例》（中华人民共和国国务院令第713 号） 3.《国务院办公厅印发〈关于全面推进政务公开工作的意 见〉实施细则的通知》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乡宁县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财政预决算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部门预算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227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《中华人民共和国预算法》、《中华人民共和国政府信息公开条例》、《财政部关于印发&lt;地方预决算公开操作规程的通知&gt;》（财预【2016】143号）等法律法规和文件规定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本级政府财政部门批复后20日内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乡宁县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227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227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一般公共预算“三公”经费支出表按“因公出国（境）费”“公务用车购置费及运行费”“公务接待费”公开。</w:t>
            </w:r>
          </w:p>
        </w:tc>
        <w:tc>
          <w:tcPr>
            <w:tcW w:w="2227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财政预决算</w:t>
            </w:r>
          </w:p>
        </w:tc>
        <w:tc>
          <w:tcPr>
            <w:tcW w:w="100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部门预算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本部门职责、机构设置情况、预算收支增减变化、机关运行经费安排以及政府采购（主要包括部门政府采购预算总金额和货物、工程 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《中华人民共和国预算法》、《中华人民共和国政府信息公开条例》、《财政部关于印发&lt;地方预决算公开操作规程的通知&gt;》（财预【2016】143号）等法律法规和文件规定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本级政府财政部门批复后20日内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乡宁县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部门决算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227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《中华人民共和国预算法》、《中华人民共和国政府信息公开条例》、《财政部关于印发&lt;地方预决算公开操作规程的通知&gt;》（财预【2016】143号）等法律法规和文件规定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本级政府财政部门批复后20日内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乡宁县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227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227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财政预决算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部门决算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一般公共预算“三公”经费支出表按“因公出国（境）费”“公务用车购置费及运行费”“公务接待费”公开，其中，“公务用车购置及运行费”应当细化到“公务用车购置费，”“公务用车运行费”两个项目，并对增减变化情况进行说明。</w:t>
            </w:r>
          </w:p>
        </w:tc>
        <w:tc>
          <w:tcPr>
            <w:tcW w:w="2227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《中华人民共和国预算法》、《中华人民共和国政府信息公开条例》、《财政部关于印发&lt;地方预决算公开操作规程的通知&gt;》（财预【2016】143号）等法律法规和文件规定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本级政府财政部门批复后20日内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乡宁县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本部门职责、机构设置情况、预算收支增减变化、机关运行经费安排以及政府采购（主要包括部门政府采购预算总金额和货物、工程 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2227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行政处罚</w:t>
            </w:r>
          </w:p>
        </w:tc>
        <w:tc>
          <w:tcPr>
            <w:tcW w:w="1005" w:type="dxa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对企业投资项目核准或备案违法行为的处罚</w:t>
            </w:r>
          </w:p>
        </w:tc>
        <w:tc>
          <w:tcPr>
            <w:tcW w:w="28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1.机构职能、执法人员名单；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2.执法程序或流程图；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3.执法依据；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4.行政处罚自由裁量基准；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5.咨询、监督投诉方式；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6.处罚决定。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中华人民共和国行政处罚法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企业投资项目核准和备案管理条例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企业投资项目核准和备案管理办法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等法律法规和文件规定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乡宁县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行政处罚</w:t>
            </w:r>
          </w:p>
        </w:tc>
        <w:tc>
          <w:tcPr>
            <w:tcW w:w="1005" w:type="dxa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对未取得相应资质从事信息化活动的处罚</w:t>
            </w:r>
          </w:p>
        </w:tc>
        <w:tc>
          <w:tcPr>
            <w:tcW w:w="28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1.机构职能、执法人员名单；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2.执法程序或流程图；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3.执法依据；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4.行政处罚自由裁量基准；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5.咨询、监督投诉方式；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6.处罚决定。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中华人民共和国行政处罚法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山西省信息化条例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等法律法规和文件规定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乡宁县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对信息管线管道、配线设施未纳入建设项目设计文件，并于建设项目同时施工的处罚</w:t>
            </w:r>
          </w:p>
        </w:tc>
        <w:tc>
          <w:tcPr>
            <w:tcW w:w="28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1.机构职能、执法人员名单；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2.执法程序或流程图；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3.执法依据；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4.行政处罚自由裁量基准；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5.咨询、监督投诉方式；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6.处罚决定。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中华人民共和国行政处罚法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山西省信息化条例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等法律法规和文件规定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乡宁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zllMmRmZjhmYTczNGU2MzQ4M2Y1YjdjYjUxOGMifQ=="/>
  </w:docVars>
  <w:rsids>
    <w:rsidRoot w:val="00662D18"/>
    <w:rsid w:val="00662D18"/>
    <w:rsid w:val="008340CD"/>
    <w:rsid w:val="06EAD3C2"/>
    <w:rsid w:val="14215916"/>
    <w:rsid w:val="2288638E"/>
    <w:rsid w:val="4A586623"/>
    <w:rsid w:val="5C1D2378"/>
    <w:rsid w:val="6FE34F6E"/>
    <w:rsid w:val="70E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2153</Words>
  <Characters>2212</Characters>
  <Lines>36</Lines>
  <Paragraphs>10</Paragraphs>
  <TotalTime>184</TotalTime>
  <ScaleCrop>false</ScaleCrop>
  <LinksUpToDate>false</LinksUpToDate>
  <CharactersWithSpaces>4902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2020-07-10T16:35:00Z</dcterms:created>
  <dc:creator>lenovo</dc:creator>
  <cp:lastModifiedBy>Administrator</cp:lastModifiedBy>
  <cp:lastPrinted>2020-11-19T12:01:00Z</cp:lastPrinted>
  <dcterms:modified xsi:type="dcterms:W3CDTF">2023-01-31T08:25:18Z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0B574B996C7C43FB956FCE713DBABD46</vt:lpwstr>
  </property>
</Properties>
</file>