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sz w:val="30"/>
          <w:szCs w:val="30"/>
        </w:rPr>
      </w:pPr>
      <w:bookmarkStart w:id="0" w:name="_Toc24724713"/>
      <w:r>
        <w:rPr>
          <w:rFonts w:hint="eastAsia" w:ascii="方正小标宋简体" w:hAnsi="方正小标宋简体" w:eastAsia="方正小标宋简体" w:cs="方正小标宋简体"/>
          <w:b w:val="0"/>
          <w:sz w:val="30"/>
          <w:szCs w:val="30"/>
        </w:rPr>
        <w:t>社会保险领域基层政务公开标准目录</w:t>
      </w:r>
      <w:bookmarkEnd w:id="0"/>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15"/>
                <w:szCs w:val="15"/>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pPr>
              <w:widowControl/>
              <w:rPr>
                <w:rFonts w:ascii="黑体" w:hAnsi="宋体" w:eastAsia="黑体" w:cs="宋体"/>
                <w:color w:val="000000"/>
                <w:kern w:val="0"/>
                <w:sz w:val="22"/>
              </w:rPr>
            </w:pPr>
          </w:p>
        </w:tc>
        <w:tc>
          <w:tcPr>
            <w:tcW w:w="2036"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024" w:type="dxa"/>
            <w:vMerge w:val="continue"/>
            <w:noWrap w:val="0"/>
            <w:vAlign w:val="center"/>
          </w:tcPr>
          <w:p>
            <w:pPr>
              <w:widowControl/>
              <w:jc w:val="left"/>
              <w:rPr>
                <w:rFonts w:ascii="黑体" w:hAnsi="宋体" w:eastAsia="黑体" w:cs="宋体"/>
                <w:color w:val="000000"/>
                <w:kern w:val="0"/>
                <w:sz w:val="22"/>
              </w:rPr>
            </w:pPr>
          </w:p>
        </w:tc>
        <w:tc>
          <w:tcPr>
            <w:tcW w:w="149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2</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4</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5</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5</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6</w:t>
            </w:r>
            <w:r>
              <w:rPr>
                <w:rFonts w:hint="eastAsia" w:ascii="仿宋_GB2312" w:hAnsi="宋体" w:eastAsia="仿宋_GB2312"/>
                <w:color w:val="000000"/>
                <w:sz w:val="18"/>
                <w:szCs w:val="18"/>
                <w:lang w:val="en-US" w:eastAsia="zh-CN"/>
              </w:rPr>
              <w:t>5</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6</w:t>
            </w: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6</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69</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jc w:val="left"/>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w:t>
            </w:r>
            <w:bookmarkStart w:id="1" w:name="_GoBack"/>
            <w:bookmarkEnd w:id="1"/>
            <w:r>
              <w:rPr>
                <w:rFonts w:hint="eastAsia" w:ascii="仿宋_GB2312" w:hAnsi="宋体" w:eastAsia="仿宋_GB2312"/>
                <w:color w:val="000000"/>
                <w:sz w:val="18"/>
                <w:szCs w:val="18"/>
              </w:rPr>
              <w:t>社会保障卡管理部门）</w:t>
            </w:r>
          </w:p>
        </w:tc>
        <w:tc>
          <w:tcPr>
            <w:tcW w:w="1496"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numPr>
                <w:ilvl w:val="0"/>
                <w:numId w:val="0"/>
              </w:numPr>
              <w:ind w:left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7</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sectPr>
      <w:footerReference r:id="rId3"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5B"/>
    <w:rsid w:val="0045265B"/>
    <w:rsid w:val="00C50B93"/>
    <w:rsid w:val="09F4445B"/>
    <w:rsid w:val="1206245E"/>
    <w:rsid w:val="25DA3C14"/>
    <w:rsid w:val="4AA21EB5"/>
    <w:rsid w:val="57455034"/>
    <w:rsid w:val="5C6045A4"/>
    <w:rsid w:val="612246B9"/>
    <w:rsid w:val="715776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1105</Words>
  <Characters>6300</Characters>
  <Lines>52</Lines>
  <Paragraphs>14</Paragraphs>
  <TotalTime>1</TotalTime>
  <ScaleCrop>false</ScaleCrop>
  <LinksUpToDate>false</LinksUpToDate>
  <CharactersWithSpaces>7391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野鬼娃娃</cp:lastModifiedBy>
  <dcterms:modified xsi:type="dcterms:W3CDTF">2020-11-20T02:17:28Z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