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750" w:beforeAutospacing="0" w:after="0" w:afterAutospacing="0" w:line="23" w:lineRule="atLeast"/>
        <w:ind w:left="0" w:right="0"/>
        <w:jc w:val="center"/>
        <w:rPr>
          <w:rFonts w:ascii="黑体" w:hAnsi="宋体" w:eastAsia="黑体" w:cs="黑体"/>
          <w:b/>
          <w:color w:val="1F5781"/>
          <w:sz w:val="39"/>
          <w:szCs w:val="39"/>
        </w:rPr>
      </w:pPr>
      <w:bookmarkStart w:id="0" w:name="_GoBack"/>
      <w:bookmarkEnd w:id="0"/>
      <w:r>
        <w:rPr>
          <w:rFonts w:hint="eastAsia" w:ascii="黑体" w:hAnsi="宋体" w:eastAsia="黑体" w:cs="黑体"/>
          <w:b/>
          <w:color w:val="1F5781"/>
          <w:sz w:val="39"/>
          <w:szCs w:val="39"/>
        </w:rPr>
        <w:t>人口</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jc w:val="left"/>
      </w:pPr>
      <w:r>
        <w:rPr>
          <w:rFonts w:hint="eastAsia" w:ascii="宋体" w:hAnsi="宋体" w:eastAsia="宋体" w:cs="宋体"/>
          <w:color w:val="333333"/>
          <w:kern w:val="0"/>
          <w:sz w:val="24"/>
          <w:szCs w:val="24"/>
          <w:lang w:val="en-US" w:eastAsia="zh-CN" w:bidi="ar"/>
        </w:rPr>
        <w:t>人口数　指一定时点、一定地区范围内有生命的个人总和。</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年度统计的年末人口数指每年</w:t>
      </w:r>
      <w:r>
        <w:rPr>
          <w:rFonts w:hint="default" w:ascii="Times New Roman" w:hAnsi="Times New Roman" w:eastAsia="宋体" w:cs="Times New Roman"/>
          <w:color w:val="333333"/>
          <w:kern w:val="0"/>
          <w:sz w:val="24"/>
          <w:szCs w:val="24"/>
          <w:lang w:val="en-US" w:eastAsia="zh-CN" w:bidi="ar"/>
        </w:rPr>
        <w:t>12</w:t>
      </w:r>
      <w:r>
        <w:rPr>
          <w:rFonts w:hint="eastAsia" w:ascii="宋体" w:hAnsi="宋体" w:eastAsia="宋体" w:cs="宋体"/>
          <w:color w:val="333333"/>
          <w:kern w:val="0"/>
          <w:sz w:val="24"/>
          <w:szCs w:val="24"/>
          <w:lang w:val="en-US" w:eastAsia="zh-CN" w:bidi="ar"/>
        </w:rPr>
        <w:t>月</w:t>
      </w:r>
      <w:r>
        <w:rPr>
          <w:rFonts w:hint="default" w:ascii="Times New Roman" w:hAnsi="Times New Roman" w:eastAsia="宋体" w:cs="Times New Roman"/>
          <w:color w:val="333333"/>
          <w:kern w:val="0"/>
          <w:sz w:val="24"/>
          <w:szCs w:val="24"/>
          <w:lang w:val="en-US" w:eastAsia="zh-CN" w:bidi="ar"/>
        </w:rPr>
        <w:t>31</w:t>
      </w:r>
      <w:r>
        <w:rPr>
          <w:rFonts w:hint="eastAsia" w:ascii="宋体" w:hAnsi="宋体" w:eastAsia="宋体" w:cs="宋体"/>
          <w:color w:val="333333"/>
          <w:kern w:val="0"/>
          <w:sz w:val="24"/>
          <w:szCs w:val="24"/>
          <w:lang w:val="en-US" w:eastAsia="zh-CN" w:bidi="ar"/>
        </w:rPr>
        <w:t>日</w:t>
      </w:r>
      <w:r>
        <w:rPr>
          <w:rFonts w:hint="default" w:ascii="Times New Roman" w:hAnsi="Times New Roman" w:eastAsia="宋体" w:cs="Times New Roman"/>
          <w:color w:val="333333"/>
          <w:kern w:val="0"/>
          <w:sz w:val="24"/>
          <w:szCs w:val="24"/>
          <w:lang w:val="en-US" w:eastAsia="zh-CN" w:bidi="ar"/>
        </w:rPr>
        <w:t>24</w:t>
      </w:r>
      <w:r>
        <w:rPr>
          <w:rFonts w:hint="eastAsia" w:ascii="宋体" w:hAnsi="宋体" w:eastAsia="宋体" w:cs="宋体"/>
          <w:color w:val="333333"/>
          <w:kern w:val="0"/>
          <w:sz w:val="24"/>
          <w:szCs w:val="24"/>
          <w:lang w:val="en-US" w:eastAsia="zh-CN" w:bidi="ar"/>
        </w:rPr>
        <w:t>时的人口数。年度统计的全国人口总数内未包括香港、澳门特别行政区和台湾省以及海外华侨人数。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城镇人口和乡村人口　城镇人口是指居住在城镇范围内的全部常住人口；乡村人口是除上述人口以外的全部人口。</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出生率（又称粗出生率）　指在一定时期内（通常为一年）一定地区的出生人数与同期内平均人数（或期中人数）之比，用千分率表示。本资料中的出生率指年出生率，其计算公式为：</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default" w:ascii="Times New Roman" w:hAnsi="Times New Roman" w:eastAsia="宋体" w:cs="Times New Roman"/>
          <w:color w:val="000000"/>
          <w:kern w:val="0"/>
          <w:sz w:val="24"/>
          <w:szCs w:val="24"/>
          <w:lang w:val="en-US" w:eastAsia="zh-CN" w:bidi="ar"/>
        </w:rPr>
        <w:drawing>
          <wp:inline distT="0" distB="0" distL="114300" distR="114300">
            <wp:extent cx="1762125" cy="381000"/>
            <wp:effectExtent l="0" t="0" r="9525" b="0"/>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4"/>
                    <a:stretch>
                      <a:fillRect/>
                    </a:stretch>
                  </pic:blipFill>
                  <pic:spPr>
                    <a:xfrm>
                      <a:off x="0" y="0"/>
                      <a:ext cx="1762125" cy="3810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eastAsia" w:ascii="宋体" w:hAnsi="宋体" w:eastAsia="宋体" w:cs="宋体"/>
          <w:color w:val="333333"/>
          <w:kern w:val="0"/>
          <w:sz w:val="24"/>
          <w:szCs w:val="24"/>
          <w:lang w:val="en-US" w:eastAsia="zh-CN" w:bidi="ar"/>
        </w:rPr>
        <w:t>　　式中：出生人数指活产婴儿，即胎儿脱离母体时（不管怀孕月数），有过呼吸或其他生命现象。年平均人数指年初、年底人口数的平均数，也可用年中人口数代替。</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死亡率（又称粗死亡率）　指在一定时期内（通常为一年）一定地区的死亡人数与同期内平均人数（或期中人数）之比，用千分率表示。本资料中的死亡率指年死亡率，其计算公式为：</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default" w:ascii="Times New Roman" w:hAnsi="Times New Roman" w:eastAsia="宋体" w:cs="Times New Roman"/>
          <w:color w:val="000000"/>
          <w:kern w:val="0"/>
          <w:sz w:val="24"/>
          <w:szCs w:val="24"/>
          <w:lang w:val="en-US" w:eastAsia="zh-CN" w:bidi="ar"/>
        </w:rPr>
        <w:drawing>
          <wp:inline distT="0" distB="0" distL="114300" distR="114300">
            <wp:extent cx="1781175" cy="371475"/>
            <wp:effectExtent l="0" t="0" r="9525" b="9525"/>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1781175" cy="37147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center"/>
      </w:pP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eastAsia" w:ascii="宋体" w:hAnsi="宋体" w:eastAsia="宋体" w:cs="宋体"/>
          <w:color w:val="333333"/>
          <w:kern w:val="0"/>
          <w:sz w:val="24"/>
          <w:szCs w:val="24"/>
          <w:lang w:val="en-US" w:eastAsia="zh-CN" w:bidi="ar"/>
        </w:rPr>
        <w:t>　　人口自然增长率　指在一定时期内（通常为一年）人口自然增加数（出生人数减死亡人数）与该时期内平均人数（或期中人数）之比，用千分率表示。计算公式为：</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default" w:ascii="Times New Roman" w:hAnsi="Times New Roman" w:eastAsia="宋体" w:cs="Times New Roman"/>
          <w:color w:val="000000"/>
          <w:kern w:val="0"/>
          <w:sz w:val="24"/>
          <w:szCs w:val="24"/>
          <w:lang w:val="en-US" w:eastAsia="zh-CN" w:bidi="ar"/>
        </w:rPr>
        <w:drawing>
          <wp:inline distT="0" distB="0" distL="114300" distR="114300">
            <wp:extent cx="3267075" cy="628650"/>
            <wp:effectExtent l="0" t="0" r="9525" b="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6"/>
                    <a:stretch>
                      <a:fillRect/>
                    </a:stretch>
                  </pic:blipFill>
                  <pic:spPr>
                    <a:xfrm>
                      <a:off x="0" y="0"/>
                      <a:ext cx="3267075" cy="62865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eastAsia" w:ascii="宋体" w:hAnsi="宋体" w:eastAsia="宋体" w:cs="宋体"/>
          <w:color w:val="333333"/>
          <w:kern w:val="0"/>
          <w:sz w:val="24"/>
          <w:szCs w:val="24"/>
          <w:lang w:val="en-US" w:eastAsia="zh-CN" w:bidi="ar"/>
        </w:rPr>
        <w:t>　　总抚养比　也称总负担系数。指人口总体中非劳动年龄人口数与劳动年龄人口数之比。通常用百分比表示。说明每</w:t>
      </w:r>
      <w:r>
        <w:rPr>
          <w:rFonts w:hint="default" w:ascii="Times New Roman" w:hAnsi="Times New Roman" w:eastAsia="宋体" w:cs="Times New Roman"/>
          <w:color w:val="333333"/>
          <w:kern w:val="0"/>
          <w:sz w:val="24"/>
          <w:szCs w:val="24"/>
          <w:lang w:val="en-US" w:eastAsia="zh-CN" w:bidi="ar"/>
        </w:rPr>
        <w:t>100</w:t>
      </w:r>
      <w:r>
        <w:rPr>
          <w:rFonts w:hint="eastAsia" w:ascii="宋体" w:hAnsi="宋体" w:eastAsia="宋体" w:cs="宋体"/>
          <w:color w:val="333333"/>
          <w:kern w:val="0"/>
          <w:sz w:val="24"/>
          <w:szCs w:val="24"/>
          <w:lang w:val="en-US" w:eastAsia="zh-CN" w:bidi="ar"/>
        </w:rPr>
        <w:t>名劳动年龄人口大致要负担多少名非劳动年龄人口。用于从人口角度反映人口与经济发展的基本关系。计算公式为：</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333333"/>
          <w:kern w:val="0"/>
          <w:sz w:val="24"/>
          <w:szCs w:val="24"/>
          <w:lang w:val="en-US" w:eastAsia="zh-CN" w:bidi="ar"/>
        </w:rPr>
        <w:t> </w:t>
      </w:r>
      <w:r>
        <w:rPr>
          <w:rFonts w:hint="default" w:ascii="Times New Roman" w:hAnsi="Times New Roman" w:eastAsia="宋体" w:cs="Times New Roman"/>
          <w:color w:val="000000"/>
          <w:kern w:val="0"/>
          <w:sz w:val="24"/>
          <w:szCs w:val="24"/>
          <w:lang w:val="en-US" w:eastAsia="zh-CN" w:bidi="ar"/>
        </w:rPr>
        <w:drawing>
          <wp:inline distT="0" distB="0" distL="114300" distR="114300">
            <wp:extent cx="1466850" cy="447675"/>
            <wp:effectExtent l="0" t="0" r="0" b="9525"/>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7"/>
                    <a:stretch>
                      <a:fillRect/>
                    </a:stretch>
                  </pic:blipFill>
                  <pic:spPr>
                    <a:xfrm>
                      <a:off x="0" y="0"/>
                      <a:ext cx="1466850" cy="44767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eastAsia" w:ascii="宋体" w:hAnsi="宋体" w:eastAsia="宋体" w:cs="宋体"/>
          <w:color w:val="333333"/>
          <w:kern w:val="0"/>
          <w:sz w:val="24"/>
          <w:szCs w:val="24"/>
          <w:lang w:val="en-US" w:eastAsia="zh-CN" w:bidi="ar"/>
        </w:rPr>
        <w:t>其中：</w:t>
      </w:r>
      <w:r>
        <w:rPr>
          <w:rFonts w:hint="default" w:ascii="Times New Roman" w:hAnsi="Times New Roman" w:eastAsia="宋体" w:cs="Times New Roman"/>
          <w:color w:val="333333"/>
          <w:kern w:val="0"/>
          <w:sz w:val="24"/>
          <w:szCs w:val="24"/>
          <w:lang w:val="en-US" w:eastAsia="zh-CN" w:bidi="ar"/>
        </w:rPr>
        <w:t>GDR</w:t>
      </w:r>
      <w:r>
        <w:rPr>
          <w:rFonts w:hint="eastAsia" w:ascii="宋体" w:hAnsi="宋体" w:eastAsia="宋体" w:cs="宋体"/>
          <w:color w:val="333333"/>
          <w:kern w:val="0"/>
          <w:sz w:val="24"/>
          <w:szCs w:val="24"/>
          <w:lang w:val="en-US" w:eastAsia="zh-CN" w:bidi="ar"/>
        </w:rPr>
        <w:t>为总抚养比；</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P0~14</w:t>
      </w:r>
      <w:r>
        <w:rPr>
          <w:rFonts w:hint="eastAsia" w:ascii="宋体" w:hAnsi="宋体" w:eastAsia="宋体" w:cs="宋体"/>
          <w:color w:val="333333"/>
          <w:kern w:val="0"/>
          <w:sz w:val="24"/>
          <w:szCs w:val="24"/>
          <w:lang w:val="en-US" w:eastAsia="zh-CN" w:bidi="ar"/>
        </w:rPr>
        <w:t>为</w:t>
      </w:r>
      <w:r>
        <w:rPr>
          <w:rFonts w:hint="default" w:ascii="Times New Roman" w:hAnsi="Times New Roman" w:eastAsia="宋体" w:cs="Times New Roman"/>
          <w:color w:val="333333"/>
          <w:kern w:val="0"/>
          <w:sz w:val="24"/>
          <w:szCs w:val="24"/>
          <w:lang w:val="en-US" w:eastAsia="zh-CN" w:bidi="ar"/>
        </w:rPr>
        <w:t>0</w:t>
      </w:r>
      <w:r>
        <w:rPr>
          <w:rFonts w:hint="eastAsia" w:ascii="宋体" w:hAnsi="宋体" w:eastAsia="宋体" w:cs="宋体"/>
          <w:color w:val="333333"/>
          <w:kern w:val="0"/>
          <w:sz w:val="24"/>
          <w:szCs w:val="24"/>
          <w:lang w:val="en-US" w:eastAsia="zh-CN" w:bidi="ar"/>
        </w:rPr>
        <w:t>～</w:t>
      </w:r>
      <w:r>
        <w:rPr>
          <w:rFonts w:hint="default" w:ascii="Times New Roman" w:hAnsi="Times New Roman" w:eastAsia="宋体" w:cs="Times New Roman"/>
          <w:color w:val="333333"/>
          <w:kern w:val="0"/>
          <w:sz w:val="24"/>
          <w:szCs w:val="24"/>
          <w:lang w:val="en-US" w:eastAsia="zh-CN" w:bidi="ar"/>
        </w:rPr>
        <w:t>14</w:t>
      </w:r>
      <w:r>
        <w:rPr>
          <w:rFonts w:hint="eastAsia" w:ascii="宋体" w:hAnsi="宋体" w:eastAsia="宋体" w:cs="宋体"/>
          <w:color w:val="333333"/>
          <w:kern w:val="0"/>
          <w:sz w:val="24"/>
          <w:szCs w:val="24"/>
          <w:lang w:val="en-US" w:eastAsia="zh-CN" w:bidi="ar"/>
        </w:rPr>
        <w:t>岁少年儿童人口数；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P65+</w:t>
      </w:r>
      <w:r>
        <w:rPr>
          <w:rFonts w:hint="eastAsia" w:ascii="宋体" w:hAnsi="宋体" w:eastAsia="宋体" w:cs="宋体"/>
          <w:color w:val="333333"/>
          <w:kern w:val="0"/>
          <w:sz w:val="24"/>
          <w:szCs w:val="24"/>
          <w:lang w:val="en-US" w:eastAsia="zh-CN" w:bidi="ar"/>
        </w:rPr>
        <w:t>为</w:t>
      </w:r>
      <w:r>
        <w:rPr>
          <w:rFonts w:hint="default" w:ascii="Times New Roman" w:hAnsi="Times New Roman" w:eastAsia="宋体" w:cs="Times New Roman"/>
          <w:color w:val="333333"/>
          <w:kern w:val="0"/>
          <w:sz w:val="24"/>
          <w:szCs w:val="24"/>
          <w:lang w:val="en-US" w:eastAsia="zh-CN" w:bidi="ar"/>
        </w:rPr>
        <w:t>65</w:t>
      </w:r>
      <w:r>
        <w:rPr>
          <w:rFonts w:hint="eastAsia" w:ascii="宋体" w:hAnsi="宋体" w:eastAsia="宋体" w:cs="宋体"/>
          <w:color w:val="333333"/>
          <w:kern w:val="0"/>
          <w:sz w:val="24"/>
          <w:szCs w:val="24"/>
          <w:lang w:val="en-US" w:eastAsia="zh-CN" w:bidi="ar"/>
        </w:rPr>
        <w:t>岁及</w:t>
      </w:r>
      <w:r>
        <w:rPr>
          <w:rFonts w:hint="default" w:ascii="Times New Roman" w:hAnsi="Times New Roman" w:eastAsia="宋体" w:cs="Times New Roman"/>
          <w:color w:val="333333"/>
          <w:kern w:val="0"/>
          <w:sz w:val="24"/>
          <w:szCs w:val="24"/>
          <w:lang w:val="en-US" w:eastAsia="zh-CN" w:bidi="ar"/>
        </w:rPr>
        <w:t>65</w:t>
      </w:r>
      <w:r>
        <w:rPr>
          <w:rFonts w:hint="eastAsia" w:ascii="宋体" w:hAnsi="宋体" w:eastAsia="宋体" w:cs="宋体"/>
          <w:color w:val="333333"/>
          <w:kern w:val="0"/>
          <w:sz w:val="24"/>
          <w:szCs w:val="24"/>
          <w:lang w:val="en-US" w:eastAsia="zh-CN" w:bidi="ar"/>
        </w:rPr>
        <w:t>岁以上的老年人口数；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P15~64</w:t>
      </w:r>
      <w:r>
        <w:rPr>
          <w:rFonts w:hint="eastAsia" w:ascii="宋体" w:hAnsi="宋体" w:eastAsia="宋体" w:cs="宋体"/>
          <w:color w:val="333333"/>
          <w:kern w:val="0"/>
          <w:sz w:val="24"/>
          <w:szCs w:val="24"/>
          <w:lang w:val="en-US" w:eastAsia="zh-CN" w:bidi="ar"/>
        </w:rPr>
        <w:t>为</w:t>
      </w:r>
      <w:r>
        <w:rPr>
          <w:rFonts w:hint="default" w:ascii="Times New Roman" w:hAnsi="Times New Roman" w:eastAsia="宋体" w:cs="Times New Roman"/>
          <w:color w:val="333333"/>
          <w:kern w:val="0"/>
          <w:sz w:val="24"/>
          <w:szCs w:val="24"/>
          <w:lang w:val="en-US" w:eastAsia="zh-CN" w:bidi="ar"/>
        </w:rPr>
        <w:t>15</w:t>
      </w:r>
      <w:r>
        <w:rPr>
          <w:rFonts w:hint="eastAsia" w:ascii="宋体" w:hAnsi="宋体" w:eastAsia="宋体" w:cs="宋体"/>
          <w:color w:val="333333"/>
          <w:kern w:val="0"/>
          <w:sz w:val="24"/>
          <w:szCs w:val="24"/>
          <w:lang w:val="en-US" w:eastAsia="zh-CN" w:bidi="ar"/>
        </w:rPr>
        <w:t>～</w:t>
      </w:r>
      <w:r>
        <w:rPr>
          <w:rFonts w:hint="default" w:ascii="Times New Roman" w:hAnsi="Times New Roman" w:eastAsia="宋体" w:cs="Times New Roman"/>
          <w:color w:val="333333"/>
          <w:kern w:val="0"/>
          <w:sz w:val="24"/>
          <w:szCs w:val="24"/>
          <w:lang w:val="en-US" w:eastAsia="zh-CN" w:bidi="ar"/>
        </w:rPr>
        <w:t>64</w:t>
      </w:r>
      <w:r>
        <w:rPr>
          <w:rFonts w:hint="eastAsia" w:ascii="宋体" w:hAnsi="宋体" w:eastAsia="宋体" w:cs="宋体"/>
          <w:color w:val="333333"/>
          <w:kern w:val="0"/>
          <w:sz w:val="24"/>
          <w:szCs w:val="24"/>
          <w:lang w:val="en-US" w:eastAsia="zh-CN" w:bidi="ar"/>
        </w:rPr>
        <w:t>岁劳动年龄人口数。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rPr>
          <w:rFonts w:hint="eastAsia" w:ascii="宋体" w:hAnsi="宋体" w:eastAsia="宋体" w:cs="宋体"/>
          <w:color w:val="333333"/>
          <w:kern w:val="0"/>
          <w:sz w:val="24"/>
          <w:szCs w:val="24"/>
          <w:lang w:val="en-US" w:eastAsia="zh-CN" w:bidi="ar"/>
        </w:rPr>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老年人口抚养比　也称老年人口抚养系数。指某一人口中老年人口数与劳动年龄人口数之比。通常用百分比表示。用以表明每</w:t>
      </w:r>
      <w:r>
        <w:rPr>
          <w:rFonts w:hint="default" w:ascii="Times New Roman" w:hAnsi="Times New Roman" w:eastAsia="宋体" w:cs="Times New Roman"/>
          <w:color w:val="333333"/>
          <w:kern w:val="0"/>
          <w:sz w:val="24"/>
          <w:szCs w:val="24"/>
          <w:lang w:val="en-US" w:eastAsia="zh-CN" w:bidi="ar"/>
        </w:rPr>
        <w:t>100</w:t>
      </w:r>
      <w:r>
        <w:rPr>
          <w:rFonts w:hint="eastAsia" w:ascii="宋体" w:hAnsi="宋体" w:eastAsia="宋体" w:cs="宋体"/>
          <w:color w:val="333333"/>
          <w:kern w:val="0"/>
          <w:sz w:val="24"/>
          <w:szCs w:val="24"/>
          <w:lang w:val="en-US" w:eastAsia="zh-CN" w:bidi="ar"/>
        </w:rPr>
        <w:t>名劳动年龄人口要负担多少名老年人。老年人口抚养比是从经济角度反映人口老化社会后果的指标之一。计算公式为：</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000000"/>
          <w:kern w:val="0"/>
          <w:sz w:val="24"/>
          <w:szCs w:val="24"/>
          <w:lang w:val="en-US" w:eastAsia="zh-CN" w:bidi="ar"/>
        </w:rPr>
        <w:drawing>
          <wp:inline distT="0" distB="0" distL="114300" distR="114300">
            <wp:extent cx="1219200" cy="419100"/>
            <wp:effectExtent l="0" t="0" r="0" b="0"/>
            <wp:docPr id="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8"/>
                    <a:stretch>
                      <a:fillRect/>
                    </a:stretch>
                  </pic:blipFill>
                  <pic:spPr>
                    <a:xfrm>
                      <a:off x="0" y="0"/>
                      <a:ext cx="1219200" cy="4191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eastAsia" w:ascii="宋体" w:hAnsi="宋体" w:eastAsia="宋体" w:cs="宋体"/>
          <w:color w:val="333333"/>
          <w:kern w:val="0"/>
          <w:sz w:val="24"/>
          <w:szCs w:val="24"/>
          <w:lang w:val="en-US" w:eastAsia="zh-CN" w:bidi="ar"/>
        </w:rPr>
        <w:t>　　其中：</w:t>
      </w:r>
      <w:r>
        <w:rPr>
          <w:rFonts w:hint="default" w:ascii="Times New Roman" w:hAnsi="Times New Roman" w:eastAsia="宋体" w:cs="Times New Roman"/>
          <w:color w:val="333333"/>
          <w:kern w:val="0"/>
          <w:sz w:val="24"/>
          <w:szCs w:val="24"/>
          <w:lang w:val="en-US" w:eastAsia="zh-CN" w:bidi="ar"/>
        </w:rPr>
        <w:t>ODR</w:t>
      </w:r>
      <w:r>
        <w:rPr>
          <w:rFonts w:hint="eastAsia" w:ascii="宋体" w:hAnsi="宋体" w:eastAsia="宋体" w:cs="宋体"/>
          <w:color w:val="333333"/>
          <w:kern w:val="0"/>
          <w:sz w:val="24"/>
          <w:szCs w:val="24"/>
          <w:lang w:val="en-US" w:eastAsia="zh-CN" w:bidi="ar"/>
        </w:rPr>
        <w:t>为老年人口抚养比；</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w:t>
      </w:r>
      <w:r>
        <w:rPr>
          <w:rFonts w:hint="default" w:ascii="Times New Roman" w:hAnsi="Times New Roman" w:eastAsia="宋体" w:cs="Times New Roman"/>
          <w:color w:val="333333"/>
          <w:kern w:val="0"/>
          <w:sz w:val="24"/>
          <w:szCs w:val="24"/>
          <w:lang w:val="en-US" w:eastAsia="zh-CN" w:bidi="ar"/>
        </w:rPr>
        <w:t>P65+</w:t>
      </w:r>
      <w:r>
        <w:rPr>
          <w:rFonts w:hint="eastAsia" w:ascii="宋体" w:hAnsi="宋体" w:eastAsia="宋体" w:cs="宋体"/>
          <w:color w:val="333333"/>
          <w:kern w:val="0"/>
          <w:sz w:val="24"/>
          <w:szCs w:val="24"/>
          <w:lang w:val="en-US" w:eastAsia="zh-CN" w:bidi="ar"/>
        </w:rPr>
        <w:t>为</w:t>
      </w:r>
      <w:r>
        <w:rPr>
          <w:rFonts w:hint="default" w:ascii="Times New Roman" w:hAnsi="Times New Roman" w:eastAsia="宋体" w:cs="Times New Roman"/>
          <w:color w:val="333333"/>
          <w:kern w:val="0"/>
          <w:sz w:val="24"/>
          <w:szCs w:val="24"/>
          <w:lang w:val="en-US" w:eastAsia="zh-CN" w:bidi="ar"/>
        </w:rPr>
        <w:t>65</w:t>
      </w:r>
      <w:r>
        <w:rPr>
          <w:rFonts w:hint="eastAsia" w:ascii="宋体" w:hAnsi="宋体" w:eastAsia="宋体" w:cs="宋体"/>
          <w:color w:val="333333"/>
          <w:kern w:val="0"/>
          <w:sz w:val="24"/>
          <w:szCs w:val="24"/>
          <w:lang w:val="en-US" w:eastAsia="zh-CN" w:bidi="ar"/>
        </w:rPr>
        <w:t>岁及</w:t>
      </w:r>
      <w:r>
        <w:rPr>
          <w:rFonts w:hint="default" w:ascii="Times New Roman" w:hAnsi="Times New Roman" w:eastAsia="宋体" w:cs="Times New Roman"/>
          <w:color w:val="333333"/>
          <w:kern w:val="0"/>
          <w:sz w:val="24"/>
          <w:szCs w:val="24"/>
          <w:lang w:val="en-US" w:eastAsia="zh-CN" w:bidi="ar"/>
        </w:rPr>
        <w:t>65</w:t>
      </w:r>
      <w:r>
        <w:rPr>
          <w:rFonts w:hint="eastAsia" w:ascii="宋体" w:hAnsi="宋体" w:eastAsia="宋体" w:cs="宋体"/>
          <w:color w:val="333333"/>
          <w:kern w:val="0"/>
          <w:sz w:val="24"/>
          <w:szCs w:val="24"/>
          <w:lang w:val="en-US" w:eastAsia="zh-CN" w:bidi="ar"/>
        </w:rPr>
        <w:t>岁以上的老年人口数；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w:t>
      </w:r>
      <w:r>
        <w:rPr>
          <w:rFonts w:hint="default" w:ascii="Times New Roman" w:hAnsi="Times New Roman" w:eastAsia="宋体" w:cs="Times New Roman"/>
          <w:color w:val="333333"/>
          <w:kern w:val="0"/>
          <w:sz w:val="24"/>
          <w:szCs w:val="24"/>
          <w:lang w:val="en-US" w:eastAsia="zh-CN" w:bidi="ar"/>
        </w:rPr>
        <w:t>P15~64</w:t>
      </w:r>
      <w:r>
        <w:rPr>
          <w:rFonts w:hint="eastAsia" w:ascii="宋体" w:hAnsi="宋体" w:eastAsia="宋体" w:cs="宋体"/>
          <w:color w:val="333333"/>
          <w:kern w:val="0"/>
          <w:sz w:val="24"/>
          <w:szCs w:val="24"/>
          <w:lang w:val="en-US" w:eastAsia="zh-CN" w:bidi="ar"/>
        </w:rPr>
        <w:t>为</w:t>
      </w:r>
      <w:r>
        <w:rPr>
          <w:rFonts w:hint="default" w:ascii="Times New Roman" w:hAnsi="Times New Roman" w:eastAsia="宋体" w:cs="Times New Roman"/>
          <w:color w:val="333333"/>
          <w:kern w:val="0"/>
          <w:sz w:val="24"/>
          <w:szCs w:val="24"/>
          <w:lang w:val="en-US" w:eastAsia="zh-CN" w:bidi="ar"/>
        </w:rPr>
        <w:t>15</w:t>
      </w:r>
      <w:r>
        <w:rPr>
          <w:rFonts w:hint="eastAsia" w:ascii="宋体" w:hAnsi="宋体" w:eastAsia="宋体" w:cs="宋体"/>
          <w:color w:val="333333"/>
          <w:kern w:val="0"/>
          <w:sz w:val="24"/>
          <w:szCs w:val="24"/>
          <w:lang w:val="en-US" w:eastAsia="zh-CN" w:bidi="ar"/>
        </w:rPr>
        <w:t>～</w:t>
      </w:r>
      <w:r>
        <w:rPr>
          <w:rFonts w:hint="default" w:ascii="Times New Roman" w:hAnsi="Times New Roman" w:eastAsia="宋体" w:cs="Times New Roman"/>
          <w:color w:val="333333"/>
          <w:kern w:val="0"/>
          <w:sz w:val="24"/>
          <w:szCs w:val="24"/>
          <w:lang w:val="en-US" w:eastAsia="zh-CN" w:bidi="ar"/>
        </w:rPr>
        <w:t>64</w:t>
      </w:r>
      <w:r>
        <w:rPr>
          <w:rFonts w:hint="eastAsia" w:ascii="宋体" w:hAnsi="宋体" w:eastAsia="宋体" w:cs="宋体"/>
          <w:color w:val="333333"/>
          <w:kern w:val="0"/>
          <w:sz w:val="24"/>
          <w:szCs w:val="24"/>
          <w:lang w:val="en-US" w:eastAsia="zh-CN" w:bidi="ar"/>
        </w:rPr>
        <w:t>岁的劳动年龄人口数。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少年儿童抚养比　也称少年儿童抚养系数。指某一人口中少年儿童人口数与劳动年龄人口数之比。通常用百分比表示。以反映每</w:t>
      </w:r>
      <w:r>
        <w:rPr>
          <w:rFonts w:hint="default" w:ascii="Times New Roman" w:hAnsi="Times New Roman" w:eastAsia="宋体" w:cs="Times New Roman"/>
          <w:color w:val="333333"/>
          <w:kern w:val="0"/>
          <w:sz w:val="24"/>
          <w:szCs w:val="24"/>
          <w:lang w:val="en-US" w:eastAsia="zh-CN" w:bidi="ar"/>
        </w:rPr>
        <w:t>100</w:t>
      </w:r>
      <w:r>
        <w:rPr>
          <w:rFonts w:hint="eastAsia" w:ascii="宋体" w:hAnsi="宋体" w:eastAsia="宋体" w:cs="宋体"/>
          <w:color w:val="333333"/>
          <w:kern w:val="0"/>
          <w:sz w:val="24"/>
          <w:szCs w:val="24"/>
          <w:lang w:val="en-US" w:eastAsia="zh-CN" w:bidi="ar"/>
        </w:rPr>
        <w:t>名劳动年龄人口要负担多少名少年儿童。计算公式为：</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default" w:ascii="Times New Roman" w:hAnsi="Times New Roman" w:eastAsia="宋体" w:cs="Times New Roman"/>
          <w:color w:val="000000"/>
          <w:kern w:val="0"/>
          <w:sz w:val="24"/>
          <w:szCs w:val="24"/>
          <w:lang w:val="en-US" w:eastAsia="zh-CN" w:bidi="ar"/>
        </w:rPr>
        <w:drawing>
          <wp:inline distT="0" distB="0" distL="114300" distR="114300">
            <wp:extent cx="1200150" cy="400050"/>
            <wp:effectExtent l="0" t="0" r="0" b="0"/>
            <wp:docPr id="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61"/>
                    <pic:cNvPicPr>
                      <a:picLocks noChangeAspect="1"/>
                    </pic:cNvPicPr>
                  </pic:nvPicPr>
                  <pic:blipFill>
                    <a:blip r:embed="rId9"/>
                    <a:stretch>
                      <a:fillRect/>
                    </a:stretch>
                  </pic:blipFill>
                  <pic:spPr>
                    <a:xfrm>
                      <a:off x="0" y="0"/>
                      <a:ext cx="1200150" cy="40005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eastAsia" w:ascii="宋体" w:hAnsi="宋体" w:eastAsia="宋体" w:cs="宋体"/>
          <w:color w:val="333333"/>
          <w:kern w:val="0"/>
          <w:sz w:val="24"/>
          <w:szCs w:val="24"/>
          <w:lang w:val="en-US" w:eastAsia="zh-CN" w:bidi="ar"/>
        </w:rPr>
        <w:t>　　其中：</w:t>
      </w:r>
      <w:r>
        <w:rPr>
          <w:rFonts w:hint="default" w:ascii="Times New Roman" w:hAnsi="Times New Roman" w:eastAsia="宋体" w:cs="Times New Roman"/>
          <w:color w:val="333333"/>
          <w:kern w:val="0"/>
          <w:sz w:val="24"/>
          <w:szCs w:val="24"/>
          <w:lang w:val="en-US" w:eastAsia="zh-CN" w:bidi="ar"/>
        </w:rPr>
        <w:t>CDR</w:t>
      </w:r>
      <w:r>
        <w:rPr>
          <w:rFonts w:hint="eastAsia" w:ascii="宋体" w:hAnsi="宋体" w:eastAsia="宋体" w:cs="宋体"/>
          <w:color w:val="333333"/>
          <w:kern w:val="0"/>
          <w:sz w:val="24"/>
          <w:szCs w:val="24"/>
          <w:lang w:val="en-US" w:eastAsia="zh-CN" w:bidi="ar"/>
        </w:rPr>
        <w:t>为少年儿童抚养比；</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w:t>
      </w:r>
      <w:r>
        <w:rPr>
          <w:rFonts w:hint="default" w:ascii="Times New Roman" w:hAnsi="Times New Roman" w:eastAsia="宋体" w:cs="Times New Roman"/>
          <w:color w:val="333333"/>
          <w:kern w:val="0"/>
          <w:sz w:val="24"/>
          <w:szCs w:val="24"/>
          <w:lang w:val="en-US" w:eastAsia="zh-CN" w:bidi="ar"/>
        </w:rPr>
        <w:t>P0~14</w:t>
      </w:r>
      <w:r>
        <w:rPr>
          <w:rFonts w:hint="eastAsia" w:ascii="宋体" w:hAnsi="宋体" w:eastAsia="宋体" w:cs="宋体"/>
          <w:color w:val="333333"/>
          <w:kern w:val="0"/>
          <w:sz w:val="24"/>
          <w:szCs w:val="24"/>
          <w:lang w:val="en-US" w:eastAsia="zh-CN" w:bidi="ar"/>
        </w:rPr>
        <w:t>为</w:t>
      </w:r>
      <w:r>
        <w:rPr>
          <w:rFonts w:hint="default" w:ascii="Times New Roman" w:hAnsi="Times New Roman" w:eastAsia="宋体" w:cs="Times New Roman"/>
          <w:color w:val="333333"/>
          <w:kern w:val="0"/>
          <w:sz w:val="24"/>
          <w:szCs w:val="24"/>
          <w:lang w:val="en-US" w:eastAsia="zh-CN" w:bidi="ar"/>
        </w:rPr>
        <w:t>0</w:t>
      </w:r>
      <w:r>
        <w:rPr>
          <w:rFonts w:hint="eastAsia" w:ascii="宋体" w:hAnsi="宋体" w:eastAsia="宋体" w:cs="宋体"/>
          <w:color w:val="333333"/>
          <w:kern w:val="0"/>
          <w:sz w:val="24"/>
          <w:szCs w:val="24"/>
          <w:lang w:val="en-US" w:eastAsia="zh-CN" w:bidi="ar"/>
        </w:rPr>
        <w:t>～</w:t>
      </w:r>
      <w:r>
        <w:rPr>
          <w:rFonts w:hint="default" w:ascii="Times New Roman" w:hAnsi="Times New Roman" w:eastAsia="宋体" w:cs="Times New Roman"/>
          <w:color w:val="333333"/>
          <w:kern w:val="0"/>
          <w:sz w:val="24"/>
          <w:szCs w:val="24"/>
          <w:lang w:val="en-US" w:eastAsia="zh-CN" w:bidi="ar"/>
        </w:rPr>
        <w:t>14</w:t>
      </w:r>
      <w:r>
        <w:rPr>
          <w:rFonts w:hint="eastAsia" w:ascii="宋体" w:hAnsi="宋体" w:eastAsia="宋体" w:cs="宋体"/>
          <w:color w:val="333333"/>
          <w:kern w:val="0"/>
          <w:sz w:val="24"/>
          <w:szCs w:val="24"/>
          <w:lang w:val="en-US" w:eastAsia="zh-CN" w:bidi="ar"/>
        </w:rPr>
        <w:t>岁少年儿童人口数；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w:t>
      </w:r>
      <w:r>
        <w:rPr>
          <w:rFonts w:hint="default" w:ascii="Times New Roman" w:hAnsi="Times New Roman" w:eastAsia="宋体" w:cs="Times New Roman"/>
          <w:color w:val="333333"/>
          <w:kern w:val="0"/>
          <w:sz w:val="24"/>
          <w:szCs w:val="24"/>
          <w:lang w:val="en-US" w:eastAsia="zh-CN" w:bidi="ar"/>
        </w:rPr>
        <w:t>P15~64</w:t>
      </w:r>
      <w:r>
        <w:rPr>
          <w:rFonts w:hint="eastAsia" w:ascii="宋体" w:hAnsi="宋体" w:eastAsia="宋体" w:cs="宋体"/>
          <w:color w:val="333333"/>
          <w:kern w:val="0"/>
          <w:sz w:val="24"/>
          <w:szCs w:val="24"/>
          <w:lang w:val="en-US" w:eastAsia="zh-CN" w:bidi="ar"/>
        </w:rPr>
        <w:t>为</w:t>
      </w:r>
      <w:r>
        <w:rPr>
          <w:rFonts w:hint="default" w:ascii="Times New Roman" w:hAnsi="Times New Roman" w:eastAsia="宋体" w:cs="Times New Roman"/>
          <w:color w:val="333333"/>
          <w:kern w:val="0"/>
          <w:sz w:val="24"/>
          <w:szCs w:val="24"/>
          <w:lang w:val="en-US" w:eastAsia="zh-CN" w:bidi="ar"/>
        </w:rPr>
        <w:t>15</w:t>
      </w:r>
      <w:r>
        <w:rPr>
          <w:rFonts w:hint="eastAsia" w:ascii="宋体" w:hAnsi="宋体" w:eastAsia="宋体" w:cs="宋体"/>
          <w:color w:val="333333"/>
          <w:kern w:val="0"/>
          <w:sz w:val="24"/>
          <w:szCs w:val="24"/>
          <w:lang w:val="en-US" w:eastAsia="zh-CN" w:bidi="ar"/>
        </w:rPr>
        <w:t>～</w:t>
      </w:r>
      <w:r>
        <w:rPr>
          <w:rFonts w:hint="default" w:ascii="Times New Roman" w:hAnsi="Times New Roman" w:eastAsia="宋体" w:cs="Times New Roman"/>
          <w:color w:val="333333"/>
          <w:kern w:val="0"/>
          <w:sz w:val="24"/>
          <w:szCs w:val="24"/>
          <w:lang w:val="en-US" w:eastAsia="zh-CN" w:bidi="ar"/>
        </w:rPr>
        <w:t>64</w:t>
      </w:r>
      <w:r>
        <w:rPr>
          <w:rFonts w:hint="eastAsia" w:ascii="宋体" w:hAnsi="宋体" w:eastAsia="宋体" w:cs="宋体"/>
          <w:color w:val="333333"/>
          <w:kern w:val="0"/>
          <w:sz w:val="24"/>
          <w:szCs w:val="24"/>
          <w:lang w:val="en-US" w:eastAsia="zh-CN" w:bidi="ar"/>
        </w:rPr>
        <w:t>岁劳动年龄人口数。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人户分离人口　是指居住地与户口登记地所在的乡镇街道不一致且离开户口登记地半年以上的人口。</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宋体" w:hAnsi="宋体" w:eastAsia="宋体" w:cs="宋体"/>
          <w:color w:val="333333"/>
          <w:kern w:val="0"/>
          <w:sz w:val="24"/>
          <w:szCs w:val="24"/>
          <w:lang w:val="en-US" w:eastAsia="zh-CN" w:bidi="ar"/>
        </w:rPr>
        <w:t>　　流动人口　是指人户分离人口中不包括市辖区内人户分离的人口。市辖区内人户分离的人口是指一个直辖市或地级市所辖区内和区与区之间，居住地和户口登记地不在同一乡镇街道的人口。</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rPr>
          <w:rFonts w:hint="default" w:ascii="Times New Roman" w:hAnsi="Times New Roman" w:eastAsia="宋体" w:cs="Times New Roman"/>
          <w:color w:val="333333"/>
          <w:kern w:val="0"/>
          <w:sz w:val="24"/>
          <w:szCs w:val="24"/>
          <w:lang w:val="en-US" w:eastAsia="zh-CN" w:bidi="ar"/>
        </w:rPr>
      </w:pPr>
      <w:r>
        <w:rPr>
          <w:rFonts w:hint="default" w:ascii="Times New Roman" w:hAnsi="Times New Roman" w:eastAsia="宋体" w:cs="Times New Roman"/>
          <w:color w:val="333333"/>
          <w:kern w:val="0"/>
          <w:sz w:val="24"/>
          <w:szCs w:val="24"/>
          <w:lang w:val="en-US" w:eastAsia="zh-CN" w:bidi="ar"/>
        </w:rPr>
        <w:t> </w:t>
      </w:r>
    </w:p>
    <w:p>
      <w:pPr>
        <w:pStyle w:val="2"/>
        <w:keepNext w:val="0"/>
        <w:keepLines w:val="0"/>
        <w:widowControl/>
        <w:suppressLineNumbers w:val="0"/>
        <w:spacing w:before="750" w:beforeAutospacing="0" w:after="0" w:afterAutospacing="0" w:line="23" w:lineRule="atLeast"/>
        <w:ind w:left="0" w:right="0"/>
        <w:jc w:val="center"/>
        <w:rPr>
          <w:rFonts w:hint="eastAsia" w:ascii="黑体" w:hAnsi="宋体" w:eastAsia="黑体" w:cs="黑体"/>
          <w:b/>
          <w:color w:val="1F5781"/>
          <w:sz w:val="39"/>
          <w:szCs w:val="39"/>
        </w:rPr>
      </w:pPr>
    </w:p>
    <w:p>
      <w:pPr>
        <w:pStyle w:val="2"/>
        <w:keepNext w:val="0"/>
        <w:keepLines w:val="0"/>
        <w:widowControl/>
        <w:suppressLineNumbers w:val="0"/>
        <w:spacing w:before="750" w:beforeAutospacing="0" w:after="0" w:afterAutospacing="0" w:line="23" w:lineRule="atLeast"/>
        <w:ind w:left="0" w:right="0"/>
        <w:jc w:val="center"/>
        <w:rPr>
          <w:rFonts w:ascii="黑体" w:hAnsi="宋体" w:eastAsia="黑体" w:cs="黑体"/>
          <w:b/>
          <w:color w:val="1F5781"/>
          <w:sz w:val="39"/>
          <w:szCs w:val="39"/>
        </w:rPr>
      </w:pPr>
      <w:r>
        <w:rPr>
          <w:rFonts w:hint="eastAsia" w:ascii="黑体" w:hAnsi="宋体" w:eastAsia="黑体" w:cs="黑体"/>
          <w:b/>
          <w:color w:val="1F5781"/>
          <w:sz w:val="39"/>
          <w:szCs w:val="39"/>
        </w:rPr>
        <w:t>价格</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eastAsia" w:ascii="宋体" w:hAnsi="宋体" w:eastAsia="宋体" w:cs="宋体"/>
          <w:color w:val="333333"/>
          <w:kern w:val="0"/>
          <w:sz w:val="24"/>
          <w:szCs w:val="24"/>
          <w:lang w:val="en-US" w:eastAsia="zh-CN" w:bidi="ar"/>
        </w:rPr>
        <w:t>　　居民消费价格指数　是反映一定时期内城乡居民所购买的生活消费品和服务项目价格变动趋势和程度的相对数，是对城市居民消费价格指数和农村居民消费价格指数进行综合汇总计算的结果。通过该指数可以观察和分析消费品的零售价格和服务项目价格变动对城乡居民实际生活费支出的影响程度。</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rPr>
          <w:rFonts w:hint="eastAsia" w:ascii="宋体" w:hAnsi="宋体" w:eastAsia="宋体" w:cs="宋体"/>
          <w:color w:val="333333"/>
          <w:kern w:val="0"/>
          <w:sz w:val="24"/>
          <w:szCs w:val="24"/>
          <w:lang w:val="en-US" w:eastAsia="zh-CN" w:bidi="ar"/>
        </w:rPr>
      </w:pPr>
      <w:r>
        <w:rPr>
          <w:rFonts w:hint="default" w:ascii="Times New Roman" w:hAnsi="Times New Roman" w:eastAsia="宋体" w:cs="Times New Roman"/>
          <w:color w:val="333333"/>
          <w:kern w:val="0"/>
          <w:sz w:val="24"/>
          <w:szCs w:val="24"/>
          <w:lang w:val="en-US" w:eastAsia="zh-CN" w:bidi="ar"/>
        </w:rPr>
        <w:t> </w:t>
      </w:r>
      <w:r>
        <w:rPr>
          <w:rFonts w:hint="eastAsia" w:ascii="Times New Roman" w:hAnsi="Times New Roman" w:eastAsia="宋体" w:cs="Times New Roman"/>
          <w:color w:val="333333"/>
          <w:kern w:val="0"/>
          <w:sz w:val="24"/>
          <w:szCs w:val="24"/>
          <w:lang w:val="en-US" w:eastAsia="zh-CN" w:bidi="ar"/>
        </w:rPr>
        <w:t xml:space="preserve">   </w:t>
      </w:r>
      <w:r>
        <w:rPr>
          <w:rFonts w:hint="eastAsia" w:ascii="宋体" w:hAnsi="宋体" w:eastAsia="宋体" w:cs="宋体"/>
          <w:color w:val="333333"/>
          <w:kern w:val="0"/>
          <w:sz w:val="24"/>
          <w:szCs w:val="24"/>
          <w:lang w:val="en-US" w:eastAsia="zh-CN" w:bidi="ar"/>
        </w:rPr>
        <w:t>城市居民消费价格指数　是反映一定时期内城市居民家庭所购买的生活消费品价格和服务项目价格变动趋势和程度的相对数。通过该指数可以观察和分析消费品的零售价格和服务项目价格变动对城镇居民收入和消费支出的影响。</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firstLineChars="200"/>
        <w:jc w:val="left"/>
      </w:pPr>
      <w:r>
        <w:rPr>
          <w:rFonts w:hint="eastAsia" w:ascii="宋体" w:hAnsi="宋体" w:eastAsia="宋体" w:cs="宋体"/>
          <w:color w:val="333333"/>
          <w:kern w:val="0"/>
          <w:sz w:val="24"/>
          <w:szCs w:val="24"/>
          <w:lang w:val="en-US" w:eastAsia="zh-CN" w:bidi="ar"/>
        </w:rPr>
        <w:t>农村居民消费价格指数　是反映一定时期内农村居民家庭所购买的生活消费品价格和服务项目价格变动趋势和程度的相对数。该指数可以观察农村消费品的零售价格和服务项目价格变动对农村居民收入和生活消费支出的影响。</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firstLineChars="200"/>
        <w:jc w:val="left"/>
      </w:pPr>
      <w:r>
        <w:rPr>
          <w:rFonts w:hint="eastAsia" w:ascii="宋体" w:hAnsi="宋体" w:eastAsia="宋体" w:cs="宋体"/>
          <w:color w:val="333333"/>
          <w:kern w:val="0"/>
          <w:sz w:val="24"/>
          <w:szCs w:val="24"/>
          <w:lang w:val="en-US" w:eastAsia="zh-CN" w:bidi="ar"/>
        </w:rPr>
        <w:t>商品零售价格指数　是反映一定时期内城乡商品零售价格变动趋势和程度的相对数。商品零售价格的变动与国家的财政收入、市场供需的平衡、消费与积累的比例关系有关。因此，该指数可以从一个侧面对上述经济活动进行观察和分析。</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Times New Roman" w:hAnsi="Times New Roman" w:eastAsia="宋体" w:cs="Times New Roman"/>
          <w:color w:val="333333"/>
          <w:kern w:val="0"/>
          <w:sz w:val="24"/>
          <w:szCs w:val="24"/>
          <w:lang w:val="en-US" w:eastAsia="zh-CN" w:bidi="ar"/>
        </w:rPr>
        <w:t xml:space="preserve">  </w:t>
      </w:r>
      <w:r>
        <w:rPr>
          <w:rFonts w:hint="eastAsia" w:ascii="宋体" w:hAnsi="宋体" w:eastAsia="宋体" w:cs="宋体"/>
          <w:color w:val="333333"/>
          <w:kern w:val="0"/>
          <w:sz w:val="24"/>
          <w:szCs w:val="24"/>
          <w:lang w:val="en-US" w:eastAsia="zh-CN" w:bidi="ar"/>
        </w:rPr>
        <w:t>农业生产资料价格指数　指反映一定时期内农业生产资料价格变动趋势和程度的相对数。其编制目的是了解农业生产中投入物质资料价格的变动状况，服务于国民经济核算。</w:t>
      </w:r>
      <w:r>
        <w:rPr>
          <w:rFonts w:hint="default" w:ascii="Times New Roman" w:hAnsi="Times New Roman" w:eastAsia="宋体" w:cs="Times New Roman"/>
          <w:color w:val="333333"/>
          <w:kern w:val="0"/>
          <w:sz w:val="24"/>
          <w:szCs w:val="24"/>
          <w:lang w:val="en-US" w:eastAsia="zh-CN" w:bidi="ar"/>
        </w:rPr>
        <w:t>1994</w:t>
      </w:r>
      <w:r>
        <w:rPr>
          <w:rFonts w:hint="eastAsia" w:ascii="宋体" w:hAnsi="宋体" w:eastAsia="宋体" w:cs="宋体"/>
          <w:color w:val="333333"/>
          <w:kern w:val="0"/>
          <w:sz w:val="24"/>
          <w:szCs w:val="24"/>
          <w:lang w:val="en-US" w:eastAsia="zh-CN" w:bidi="ar"/>
        </w:rPr>
        <w:t>年以前，农业生产资料价格指数仅仅是商品零售价格指数的一个类别，此后，从商品零售价格指数中分离出来，单独编制。</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Times New Roman" w:hAnsi="Times New Roman" w:eastAsia="宋体" w:cs="Times New Roman"/>
          <w:color w:val="333333"/>
          <w:kern w:val="0"/>
          <w:sz w:val="24"/>
          <w:szCs w:val="24"/>
          <w:lang w:val="en-US" w:eastAsia="zh-CN" w:bidi="ar"/>
        </w:rPr>
        <w:t xml:space="preserve">  </w:t>
      </w:r>
      <w:r>
        <w:rPr>
          <w:rFonts w:hint="eastAsia" w:ascii="宋体" w:hAnsi="宋体" w:eastAsia="宋体" w:cs="宋体"/>
          <w:color w:val="333333"/>
          <w:kern w:val="0"/>
          <w:sz w:val="24"/>
          <w:szCs w:val="24"/>
          <w:lang w:val="en-US" w:eastAsia="zh-CN" w:bidi="ar"/>
        </w:rPr>
        <w:t>农产品生产者价格指数　是反映一定时期内，农产品生产者出售农产品价格水平变动趋势及幅度的相对数。该指数可以客观反映全国农产品生产价格水平和结构变动情况，满足农业与国民经济核算需要。其中某代表品生产价格指数是通过对全部有出售该产品行为的调查单位的个体指数进行几何平均求得的，类价格指数是通过对其所属的类（或代表品）的价格指数进行加权平均求得的。季度累计价格指数的计算方法与分季指数的计算方法相同。</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eastAsia" w:ascii="宋体" w:hAnsi="宋体" w:eastAsia="宋体" w:cs="宋体"/>
          <w:color w:val="333333"/>
          <w:kern w:val="0"/>
          <w:sz w:val="24"/>
          <w:szCs w:val="24"/>
          <w:lang w:val="en-US" w:eastAsia="zh-CN" w:bidi="ar"/>
        </w:rPr>
        <w:t>　　工业生产者出厂价格指数　是反映一定时期内全部工业产品第一次出售时的出厂价格总水平的变动趋势和变动幅度的相对数。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firstLineChars="200"/>
        <w:jc w:val="left"/>
      </w:pPr>
      <w:r>
        <w:rPr>
          <w:rFonts w:hint="eastAsia" w:ascii="宋体" w:hAnsi="宋体" w:eastAsia="宋体" w:cs="宋体"/>
          <w:color w:val="333333"/>
          <w:kern w:val="0"/>
          <w:sz w:val="24"/>
          <w:szCs w:val="24"/>
          <w:lang w:val="en-US" w:eastAsia="zh-CN" w:bidi="ar"/>
        </w:rPr>
        <w:t>工业生产者购进价格指数　是反映作为中间投入的原材料、燃料、动力购进价格总水平的变动趋势和变动幅度的相对数。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lang w:val="en-US" w:eastAsia="zh-CN" w:bidi="ar"/>
        </w:rPr>
        <w:t> </w:t>
      </w:r>
      <w:r>
        <w:rPr>
          <w:rFonts w:hint="eastAsia" w:ascii="Times New Roman" w:hAnsi="Times New Roman" w:eastAsia="宋体" w:cs="Times New Roman"/>
          <w:color w:val="333333"/>
          <w:kern w:val="0"/>
          <w:sz w:val="24"/>
          <w:szCs w:val="24"/>
          <w:lang w:val="en-US" w:eastAsia="zh-CN" w:bidi="ar"/>
        </w:rPr>
        <w:t xml:space="preserve">   </w:t>
      </w:r>
      <w:r>
        <w:rPr>
          <w:rFonts w:hint="eastAsia" w:ascii="宋体" w:hAnsi="宋体" w:eastAsia="宋体" w:cs="宋体"/>
          <w:color w:val="333333"/>
          <w:kern w:val="0"/>
          <w:sz w:val="24"/>
          <w:szCs w:val="24"/>
          <w:lang w:val="en-US" w:eastAsia="zh-CN" w:bidi="ar"/>
        </w:rPr>
        <w:t>固定资产投资价格指数　是反映一定时期内固定资产投资品及取费项目的价格变动趋势和变动幅度的相对数。该指数可以准确地反映固定资产投资中涉及的各类投资品和取费项目价格变动趋势和变动幅度，消除按现价计算的固定资产投资指标中的价格变动因素，真实地反映固定资产投资的规模、速度、结构和效益。</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rPr>
          <w:rFonts w:hint="default" w:ascii="Times New Roman" w:hAnsi="Times New Roman" w:eastAsia="宋体" w:cs="Times New Roman"/>
          <w:color w:val="333333"/>
          <w:kern w:val="0"/>
          <w:sz w:val="24"/>
          <w:szCs w:val="24"/>
          <w:lang w:val="en-US" w:eastAsia="zh-CN" w:bidi="ar"/>
        </w:rPr>
      </w:pPr>
    </w:p>
    <w:p>
      <w:pPr>
        <w:pStyle w:val="2"/>
        <w:keepNext w:val="0"/>
        <w:keepLines w:val="0"/>
        <w:widowControl/>
        <w:suppressLineNumbers w:val="0"/>
        <w:spacing w:before="750" w:beforeAutospacing="0" w:after="0" w:afterAutospacing="0" w:line="23" w:lineRule="atLeast"/>
        <w:ind w:left="0" w:right="0"/>
        <w:jc w:val="center"/>
        <w:rPr>
          <w:rFonts w:hint="eastAsia" w:ascii="黑体" w:hAnsi="宋体" w:eastAsia="黑体" w:cs="黑体"/>
          <w:b/>
          <w:color w:val="1F5781"/>
          <w:sz w:val="39"/>
          <w:szCs w:val="39"/>
          <w:bdr w:val="none" w:color="auto" w:sz="0" w:space="0"/>
        </w:rPr>
      </w:pPr>
    </w:p>
    <w:p>
      <w:pPr>
        <w:pStyle w:val="2"/>
        <w:keepNext w:val="0"/>
        <w:keepLines w:val="0"/>
        <w:widowControl/>
        <w:suppressLineNumbers w:val="0"/>
        <w:spacing w:before="750" w:beforeAutospacing="0" w:after="0" w:afterAutospacing="0" w:line="23" w:lineRule="atLeast"/>
        <w:ind w:left="0" w:right="0"/>
        <w:jc w:val="center"/>
        <w:rPr>
          <w:rFonts w:hint="eastAsia" w:ascii="黑体" w:hAnsi="宋体" w:eastAsia="黑体" w:cs="黑体"/>
          <w:b/>
          <w:color w:val="1F5781"/>
          <w:sz w:val="39"/>
          <w:szCs w:val="39"/>
          <w:bdr w:val="none" w:color="auto" w:sz="0" w:space="0"/>
        </w:rPr>
      </w:pPr>
    </w:p>
    <w:p>
      <w:pPr>
        <w:pStyle w:val="2"/>
        <w:keepNext w:val="0"/>
        <w:keepLines w:val="0"/>
        <w:widowControl/>
        <w:suppressLineNumbers w:val="0"/>
        <w:spacing w:before="750" w:beforeAutospacing="0" w:after="0" w:afterAutospacing="0" w:line="23" w:lineRule="atLeast"/>
        <w:ind w:left="0" w:right="0"/>
        <w:jc w:val="center"/>
        <w:rPr>
          <w:rFonts w:hint="eastAsia" w:ascii="黑体" w:hAnsi="宋体" w:eastAsia="黑体" w:cs="黑体"/>
          <w:b/>
          <w:color w:val="1F5781"/>
          <w:sz w:val="39"/>
          <w:szCs w:val="39"/>
          <w:bdr w:val="none" w:color="auto" w:sz="0" w:space="0"/>
        </w:rPr>
      </w:pPr>
    </w:p>
    <w:p>
      <w:pPr>
        <w:pStyle w:val="2"/>
        <w:keepNext w:val="0"/>
        <w:keepLines w:val="0"/>
        <w:widowControl/>
        <w:suppressLineNumbers w:val="0"/>
        <w:spacing w:before="750" w:beforeAutospacing="0" w:after="0" w:afterAutospacing="0" w:line="23" w:lineRule="atLeast"/>
        <w:ind w:left="0" w:right="0"/>
        <w:jc w:val="center"/>
        <w:rPr>
          <w:rFonts w:hint="eastAsia" w:ascii="黑体" w:hAnsi="宋体" w:eastAsia="黑体" w:cs="黑体"/>
          <w:b/>
          <w:color w:val="1F5781"/>
          <w:sz w:val="39"/>
          <w:szCs w:val="39"/>
          <w:bdr w:val="none" w:color="auto" w:sz="0" w:space="0"/>
        </w:rPr>
      </w:pPr>
    </w:p>
    <w:p>
      <w:pPr>
        <w:pStyle w:val="2"/>
        <w:keepNext w:val="0"/>
        <w:keepLines w:val="0"/>
        <w:widowControl/>
        <w:suppressLineNumbers w:val="0"/>
        <w:spacing w:before="750" w:beforeAutospacing="0" w:after="0" w:afterAutospacing="0" w:line="23" w:lineRule="atLeast"/>
        <w:ind w:left="0" w:right="0"/>
        <w:jc w:val="center"/>
        <w:rPr>
          <w:rFonts w:hint="eastAsia" w:ascii="黑体" w:hAnsi="宋体" w:eastAsia="黑体" w:cs="黑体"/>
          <w:b/>
          <w:color w:val="1F5781"/>
          <w:sz w:val="39"/>
          <w:szCs w:val="39"/>
          <w:bdr w:val="none" w:color="auto" w:sz="0" w:space="0"/>
        </w:rPr>
      </w:pPr>
    </w:p>
    <w:p>
      <w:pPr>
        <w:pStyle w:val="2"/>
        <w:keepNext w:val="0"/>
        <w:keepLines w:val="0"/>
        <w:widowControl/>
        <w:suppressLineNumbers w:val="0"/>
        <w:spacing w:before="750" w:beforeAutospacing="0" w:after="0" w:afterAutospacing="0" w:line="23" w:lineRule="atLeast"/>
        <w:ind w:left="0" w:right="0"/>
        <w:jc w:val="center"/>
        <w:rPr>
          <w:rFonts w:hint="eastAsia" w:ascii="黑体" w:hAnsi="宋体" w:eastAsia="黑体" w:cs="黑体"/>
          <w:b/>
          <w:color w:val="1F5781"/>
          <w:sz w:val="39"/>
          <w:szCs w:val="39"/>
          <w:bdr w:val="none" w:color="auto" w:sz="0" w:space="0"/>
        </w:rPr>
      </w:pPr>
    </w:p>
    <w:p>
      <w:pPr>
        <w:pStyle w:val="2"/>
        <w:keepNext w:val="0"/>
        <w:keepLines w:val="0"/>
        <w:widowControl/>
        <w:suppressLineNumbers w:val="0"/>
        <w:spacing w:before="750" w:beforeAutospacing="0" w:after="0" w:afterAutospacing="0" w:line="23" w:lineRule="atLeast"/>
        <w:ind w:left="0" w:right="0"/>
        <w:jc w:val="center"/>
        <w:rPr>
          <w:rFonts w:ascii="黑体" w:hAnsi="宋体" w:eastAsia="黑体" w:cs="黑体"/>
          <w:b/>
          <w:color w:val="1F5781"/>
          <w:sz w:val="39"/>
          <w:szCs w:val="39"/>
        </w:rPr>
      </w:pPr>
      <w:r>
        <w:rPr>
          <w:rFonts w:hint="eastAsia" w:ascii="黑体" w:hAnsi="宋体" w:eastAsia="黑体" w:cs="黑体"/>
          <w:b/>
          <w:color w:val="1F5781"/>
          <w:sz w:val="39"/>
          <w:szCs w:val="39"/>
          <w:bdr w:val="none" w:color="auto" w:sz="0" w:space="0"/>
        </w:rPr>
        <w:t>财政</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jc w:val="left"/>
        <w:rPr>
          <w:rFonts w:hint="eastAsia" w:ascii="宋体" w:hAnsi="宋体" w:eastAsia="宋体" w:cs="宋体"/>
          <w:color w:val="333333"/>
          <w:kern w:val="0"/>
          <w:sz w:val="24"/>
          <w:szCs w:val="24"/>
          <w:bdr w:val="none" w:color="auto" w:sz="0" w:space="0"/>
          <w:lang w:val="en-US" w:eastAsia="zh-CN" w:bidi="ar"/>
        </w:rPr>
      </w:pPr>
      <w:r>
        <w:rPr>
          <w:rFonts w:hint="eastAsia" w:ascii="宋体" w:hAnsi="宋体" w:eastAsia="宋体" w:cs="宋体"/>
          <w:color w:val="333333"/>
          <w:kern w:val="0"/>
          <w:sz w:val="24"/>
          <w:szCs w:val="24"/>
          <w:bdr w:val="none" w:color="auto" w:sz="0" w:space="0"/>
          <w:lang w:val="en-US" w:eastAsia="zh-CN" w:bidi="ar"/>
        </w:rPr>
        <w:t>一般公共预算收入　指国家财政参与社会产品分配所取得的收入，是实现国家职能的财力保证。主要包括：（</w:t>
      </w:r>
      <w:r>
        <w:rPr>
          <w:rFonts w:hint="default" w:ascii="Times New Roman" w:hAnsi="Times New Roman" w:eastAsia="宋体" w:cs="Times New Roman"/>
          <w:color w:val="333333"/>
          <w:kern w:val="0"/>
          <w:sz w:val="24"/>
          <w:szCs w:val="24"/>
          <w:bdr w:val="none" w:color="auto" w:sz="0" w:space="0"/>
          <w:lang w:val="en-US" w:eastAsia="zh-CN" w:bidi="ar"/>
        </w:rPr>
        <w:t>1</w:t>
      </w:r>
      <w:r>
        <w:rPr>
          <w:rFonts w:hint="eastAsia" w:ascii="宋体" w:hAnsi="宋体" w:eastAsia="宋体" w:cs="宋体"/>
          <w:color w:val="333333"/>
          <w:kern w:val="0"/>
          <w:sz w:val="24"/>
          <w:szCs w:val="24"/>
          <w:bdr w:val="none" w:color="auto" w:sz="0" w:space="0"/>
          <w:lang w:val="en-US" w:eastAsia="zh-CN" w:bidi="ar"/>
        </w:rPr>
        <w:t>）各项税收：包括国内增值税、国内消费税、进口货物增值税和消费税、出口货物退增值税和消费税、企业所得税、个人所得税、资源税、城市维护建设税、房产税、印花税、城镇土地使用税、土地增值税、车船税、船舶吨税、车辆购置税、关税、耕地占用税、契税、烟叶税、环境保护税等。（</w:t>
      </w:r>
      <w:r>
        <w:rPr>
          <w:rFonts w:hint="default" w:ascii="Times New Roman" w:hAnsi="Times New Roman" w:eastAsia="宋体" w:cs="Times New Roman"/>
          <w:color w:val="333333"/>
          <w:kern w:val="0"/>
          <w:sz w:val="24"/>
          <w:szCs w:val="24"/>
          <w:bdr w:val="none" w:color="auto" w:sz="0" w:space="0"/>
          <w:lang w:val="en-US" w:eastAsia="zh-CN" w:bidi="ar"/>
        </w:rPr>
        <w:t>2</w:t>
      </w:r>
      <w:r>
        <w:rPr>
          <w:rFonts w:hint="eastAsia" w:ascii="宋体" w:hAnsi="宋体" w:eastAsia="宋体" w:cs="宋体"/>
          <w:color w:val="333333"/>
          <w:kern w:val="0"/>
          <w:sz w:val="24"/>
          <w:szCs w:val="24"/>
          <w:bdr w:val="none" w:color="auto" w:sz="0" w:space="0"/>
          <w:lang w:val="en-US" w:eastAsia="zh-CN" w:bidi="ar"/>
        </w:rPr>
        <w:t>）非税收入：包括专项收入、行政事业性收费、罚没收入、国有资本经营收入、国有资源（资产）有偿使用收入和其他收入。财政收入按现行分税制财政体制划分为中央本级收入和地方本级收入。</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jc w:val="left"/>
      </w:pPr>
      <w:r>
        <w:rPr>
          <w:rFonts w:hint="eastAsia" w:ascii="Times New Roman" w:hAnsi="Times New Roman" w:eastAsia="宋体" w:cs="Times New Roman"/>
          <w:color w:val="333333"/>
          <w:kern w:val="0"/>
          <w:sz w:val="24"/>
          <w:szCs w:val="24"/>
          <w:bdr w:val="none" w:color="auto" w:sz="0" w:space="0"/>
          <w:lang w:val="en-US" w:eastAsia="zh-CN" w:bidi="ar"/>
        </w:rPr>
        <w:t xml:space="preserve"> </w:t>
      </w:r>
      <w:r>
        <w:rPr>
          <w:rFonts w:hint="eastAsia" w:ascii="宋体" w:hAnsi="宋体" w:eastAsia="宋体" w:cs="宋体"/>
          <w:color w:val="333333"/>
          <w:kern w:val="0"/>
          <w:sz w:val="24"/>
          <w:szCs w:val="24"/>
          <w:bdr w:val="none" w:color="auto" w:sz="0" w:space="0"/>
          <w:lang w:val="en-US" w:eastAsia="zh-CN" w:bidi="ar"/>
        </w:rPr>
        <w:t>一般公共预算支出　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洋气象等、住房保障、粮油物资储备、债务付息、债务发行费用等方面的支出。财政支出根据政府在经济和社会活动中的不同职权，划分为中央财政支出和地方财政支出。</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bdr w:val="none" w:color="auto" w:sz="0" w:space="0"/>
          <w:lang w:val="en-US" w:eastAsia="zh-CN" w:bidi="ar"/>
        </w:rPr>
        <w:t> </w:t>
      </w:r>
      <w:r>
        <w:rPr>
          <w:rFonts w:hint="eastAsia" w:ascii="Times New Roman" w:hAnsi="Times New Roman" w:eastAsia="宋体" w:cs="Times New Roman"/>
          <w:color w:val="333333"/>
          <w:kern w:val="0"/>
          <w:sz w:val="24"/>
          <w:szCs w:val="24"/>
          <w:bdr w:val="none" w:color="auto" w:sz="0" w:space="0"/>
          <w:lang w:val="en-US" w:eastAsia="zh-CN" w:bidi="ar"/>
        </w:rPr>
        <w:t xml:space="preserve">   </w:t>
      </w:r>
      <w:r>
        <w:rPr>
          <w:rFonts w:hint="eastAsia" w:ascii="宋体" w:hAnsi="宋体" w:eastAsia="宋体" w:cs="宋体"/>
          <w:color w:val="333333"/>
          <w:kern w:val="0"/>
          <w:sz w:val="24"/>
          <w:szCs w:val="24"/>
          <w:bdr w:val="none" w:color="auto" w:sz="0" w:space="0"/>
          <w:lang w:val="en-US" w:eastAsia="zh-CN" w:bidi="ar"/>
        </w:rPr>
        <w:t>中央一般公共预算收入和地方一般公共预算收入　属于中央一般公共预算的收入包括关税，进口货物增值税和消费税，出口货物退增值税和消费税，国内消费税，铁道部门、各银行总行、各保险公司总公司等集中缴纳的城市维护建设税，增值税</w:t>
      </w:r>
      <w:r>
        <w:rPr>
          <w:rFonts w:hint="default" w:ascii="Times New Roman" w:hAnsi="Times New Roman" w:eastAsia="宋体" w:cs="Times New Roman"/>
          <w:color w:val="333333"/>
          <w:kern w:val="0"/>
          <w:sz w:val="24"/>
          <w:szCs w:val="24"/>
          <w:bdr w:val="none" w:color="auto" w:sz="0" w:space="0"/>
          <w:lang w:val="en-US" w:eastAsia="zh-CN" w:bidi="ar"/>
        </w:rPr>
        <w:t>50%</w:t>
      </w:r>
      <w:r>
        <w:rPr>
          <w:rFonts w:hint="eastAsia" w:ascii="宋体" w:hAnsi="宋体" w:eastAsia="宋体" w:cs="宋体"/>
          <w:color w:val="333333"/>
          <w:kern w:val="0"/>
          <w:sz w:val="24"/>
          <w:szCs w:val="24"/>
          <w:bdr w:val="none" w:color="auto" w:sz="0" w:space="0"/>
          <w:lang w:val="en-US" w:eastAsia="zh-CN" w:bidi="ar"/>
        </w:rPr>
        <w:t>部分，纳入共享范围的企业所得税</w:t>
      </w:r>
      <w:r>
        <w:rPr>
          <w:rFonts w:hint="default" w:ascii="Times New Roman" w:hAnsi="Times New Roman" w:eastAsia="宋体" w:cs="Times New Roman"/>
          <w:color w:val="333333"/>
          <w:kern w:val="0"/>
          <w:sz w:val="24"/>
          <w:szCs w:val="24"/>
          <w:bdr w:val="none" w:color="auto" w:sz="0" w:space="0"/>
          <w:lang w:val="en-US" w:eastAsia="zh-CN" w:bidi="ar"/>
        </w:rPr>
        <w:t>60%</w:t>
      </w:r>
      <w:r>
        <w:rPr>
          <w:rFonts w:hint="eastAsia" w:ascii="宋体" w:hAnsi="宋体" w:eastAsia="宋体" w:cs="宋体"/>
          <w:color w:val="333333"/>
          <w:kern w:val="0"/>
          <w:sz w:val="24"/>
          <w:szCs w:val="24"/>
          <w:bdr w:val="none" w:color="auto" w:sz="0" w:space="0"/>
          <w:lang w:val="en-US" w:eastAsia="zh-CN" w:bidi="ar"/>
        </w:rPr>
        <w:t>部分，未纳入共享范围的中央企业所得税、中央企业上交的利润，个人所得税</w:t>
      </w:r>
      <w:r>
        <w:rPr>
          <w:rFonts w:hint="default" w:ascii="Times New Roman" w:hAnsi="Times New Roman" w:eastAsia="宋体" w:cs="Times New Roman"/>
          <w:color w:val="333333"/>
          <w:kern w:val="0"/>
          <w:sz w:val="24"/>
          <w:szCs w:val="24"/>
          <w:bdr w:val="none" w:color="auto" w:sz="0" w:space="0"/>
          <w:lang w:val="en-US" w:eastAsia="zh-CN" w:bidi="ar"/>
        </w:rPr>
        <w:t>60%</w:t>
      </w:r>
      <w:r>
        <w:rPr>
          <w:rFonts w:hint="eastAsia" w:ascii="宋体" w:hAnsi="宋体" w:eastAsia="宋体" w:cs="宋体"/>
          <w:color w:val="333333"/>
          <w:kern w:val="0"/>
          <w:sz w:val="24"/>
          <w:szCs w:val="24"/>
          <w:bdr w:val="none" w:color="auto" w:sz="0" w:space="0"/>
          <w:lang w:val="en-US" w:eastAsia="zh-CN" w:bidi="ar"/>
        </w:rPr>
        <w:t>部分，车辆购置税，船舶吨税，证券交易印花税，海洋石油资源税，中央非税收入等。属于地方一般公共预算的收入包括城市维护建设税（不含铁道部门、各银行总行、各保险公司总公司集中缴纳的部分），房产税，城镇土地使用税，土地增值税，车船税，耕地占用税，契税，烟叶税，印花税（不含证券交易印花税），增值税</w:t>
      </w:r>
      <w:r>
        <w:rPr>
          <w:rFonts w:hint="default" w:ascii="Times New Roman" w:hAnsi="Times New Roman" w:eastAsia="宋体" w:cs="Times New Roman"/>
          <w:color w:val="333333"/>
          <w:kern w:val="0"/>
          <w:sz w:val="24"/>
          <w:szCs w:val="24"/>
          <w:bdr w:val="none" w:color="auto" w:sz="0" w:space="0"/>
          <w:lang w:val="en-US" w:eastAsia="zh-CN" w:bidi="ar"/>
        </w:rPr>
        <w:t>50%</w:t>
      </w:r>
      <w:r>
        <w:rPr>
          <w:rFonts w:hint="eastAsia" w:ascii="宋体" w:hAnsi="宋体" w:eastAsia="宋体" w:cs="宋体"/>
          <w:color w:val="333333"/>
          <w:kern w:val="0"/>
          <w:sz w:val="24"/>
          <w:szCs w:val="24"/>
          <w:bdr w:val="none" w:color="auto" w:sz="0" w:space="0"/>
          <w:lang w:val="en-US" w:eastAsia="zh-CN" w:bidi="ar"/>
        </w:rPr>
        <w:t>部分，纳入共享范围的企业所得税</w:t>
      </w:r>
      <w:r>
        <w:rPr>
          <w:rFonts w:hint="default" w:ascii="Times New Roman" w:hAnsi="Times New Roman" w:eastAsia="宋体" w:cs="Times New Roman"/>
          <w:color w:val="333333"/>
          <w:kern w:val="0"/>
          <w:sz w:val="24"/>
          <w:szCs w:val="24"/>
          <w:bdr w:val="none" w:color="auto" w:sz="0" w:space="0"/>
          <w:lang w:val="en-US" w:eastAsia="zh-CN" w:bidi="ar"/>
        </w:rPr>
        <w:t>40%</w:t>
      </w:r>
      <w:r>
        <w:rPr>
          <w:rFonts w:hint="eastAsia" w:ascii="宋体" w:hAnsi="宋体" w:eastAsia="宋体" w:cs="宋体"/>
          <w:color w:val="333333"/>
          <w:kern w:val="0"/>
          <w:sz w:val="24"/>
          <w:szCs w:val="24"/>
          <w:bdr w:val="none" w:color="auto" w:sz="0" w:space="0"/>
          <w:lang w:val="en-US" w:eastAsia="zh-CN" w:bidi="ar"/>
        </w:rPr>
        <w:t>部分，个人所得税</w:t>
      </w:r>
      <w:r>
        <w:rPr>
          <w:rFonts w:hint="default" w:ascii="Times New Roman" w:hAnsi="Times New Roman" w:eastAsia="宋体" w:cs="Times New Roman"/>
          <w:color w:val="333333"/>
          <w:kern w:val="0"/>
          <w:sz w:val="24"/>
          <w:szCs w:val="24"/>
          <w:bdr w:val="none" w:color="auto" w:sz="0" w:space="0"/>
          <w:lang w:val="en-US" w:eastAsia="zh-CN" w:bidi="ar"/>
        </w:rPr>
        <w:t>40%</w:t>
      </w:r>
      <w:r>
        <w:rPr>
          <w:rFonts w:hint="eastAsia" w:ascii="宋体" w:hAnsi="宋体" w:eastAsia="宋体" w:cs="宋体"/>
          <w:color w:val="333333"/>
          <w:kern w:val="0"/>
          <w:sz w:val="24"/>
          <w:szCs w:val="24"/>
          <w:bdr w:val="none" w:color="auto" w:sz="0" w:space="0"/>
          <w:lang w:val="en-US" w:eastAsia="zh-CN" w:bidi="ar"/>
        </w:rPr>
        <w:t>部分，海洋石油资源税以外的其他资源税，地方非税收入等。</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bdr w:val="none" w:color="auto" w:sz="0" w:space="0"/>
          <w:lang w:val="en-US" w:eastAsia="zh-CN" w:bidi="ar"/>
        </w:rPr>
        <w:t> </w:t>
      </w:r>
      <w:r>
        <w:rPr>
          <w:rFonts w:hint="eastAsia" w:ascii="宋体" w:hAnsi="宋体" w:eastAsia="宋体" w:cs="宋体"/>
          <w:color w:val="333333"/>
          <w:kern w:val="0"/>
          <w:sz w:val="24"/>
          <w:szCs w:val="24"/>
          <w:bdr w:val="none" w:color="auto" w:sz="0" w:space="0"/>
          <w:lang w:val="en-US" w:eastAsia="zh-CN" w:bidi="ar"/>
        </w:rPr>
        <w:t>中央一般公共预算支出和地方一般公共预算支出　指根据政府在经济和社会活动中的不同职责，划分中央和地方政府的责权，按照政府的责权划分确定的支出。中央一般公共预算支出包括一般公共服务，外交支出，国防支出，公共安全支出，以及中央政府调整国民经济结构、协调地区发展、实施宏观调控的支出等。地方一般公共预算支出包括一般公共服务，公共安全支出，地方统筹的各项社会事业支出等。</w:t>
      </w:r>
    </w:p>
    <w:p/>
    <w:p/>
    <w:p/>
    <w:p/>
    <w:p/>
    <w:p/>
    <w:p/>
    <w:p/>
    <w:p/>
    <w:p/>
    <w:p/>
    <w:p/>
    <w:p/>
    <w:p/>
    <w:p/>
    <w:p/>
    <w:p/>
    <w:p/>
    <w:p/>
    <w:p/>
    <w:p/>
    <w:p/>
    <w:p/>
    <w:p/>
    <w:p/>
    <w:p/>
    <w:p/>
    <w:p/>
    <w:p/>
    <w:p/>
    <w:p/>
    <w:p/>
    <w:p/>
    <w:p/>
    <w:p/>
    <w:p/>
    <w:p/>
    <w:p/>
    <w:p/>
    <w:p/>
    <w:p/>
    <w:p>
      <w:pPr>
        <w:pStyle w:val="2"/>
        <w:keepNext w:val="0"/>
        <w:keepLines w:val="0"/>
        <w:widowControl/>
        <w:suppressLineNumbers w:val="0"/>
        <w:spacing w:before="750" w:beforeAutospacing="0" w:after="0" w:afterAutospacing="0" w:line="23" w:lineRule="atLeast"/>
        <w:ind w:left="0" w:right="0"/>
        <w:jc w:val="center"/>
        <w:rPr>
          <w:rFonts w:hint="eastAsia" w:ascii="黑体" w:hAnsi="宋体" w:eastAsia="黑体" w:cs="黑体"/>
          <w:b/>
          <w:color w:val="1F5781"/>
          <w:sz w:val="39"/>
          <w:szCs w:val="39"/>
          <w:bdr w:val="none" w:color="auto" w:sz="0" w:space="0"/>
        </w:rPr>
      </w:pPr>
      <w:r>
        <w:rPr>
          <w:rFonts w:hint="eastAsia" w:ascii="黑体" w:hAnsi="宋体" w:eastAsia="黑体" w:cs="黑体"/>
          <w:b/>
          <w:color w:val="1F5781"/>
          <w:sz w:val="39"/>
          <w:szCs w:val="39"/>
          <w:bdr w:val="none" w:color="auto" w:sz="0" w:space="0"/>
        </w:rPr>
        <w:t>房地产</w:t>
      </w:r>
    </w:p>
    <w:p>
      <w:pPr>
        <w:pStyle w:val="2"/>
        <w:keepNext w:val="0"/>
        <w:keepLines w:val="0"/>
        <w:widowControl/>
        <w:suppressLineNumbers w:val="0"/>
        <w:spacing w:before="750" w:beforeAutospacing="0" w:after="0" w:afterAutospacing="0" w:line="23" w:lineRule="atLeast"/>
        <w:ind w:left="0" w:right="0"/>
        <w:jc w:val="center"/>
      </w:pPr>
      <w:r>
        <w:rPr>
          <w:rFonts w:hint="eastAsia" w:ascii="宋体" w:hAnsi="宋体" w:eastAsia="宋体" w:cs="宋体"/>
          <w:color w:val="333333"/>
          <w:kern w:val="0"/>
          <w:sz w:val="24"/>
          <w:szCs w:val="24"/>
          <w:bdr w:val="none" w:color="auto" w:sz="0" w:space="0"/>
          <w:lang w:val="en-US" w:eastAsia="zh-CN" w:bidi="ar"/>
        </w:rPr>
        <w:t>　　待开发土地面积　指房地产开发企业经有关部门批准，通过各种方式获得土地使用权，但尚未开工建设的土地面积。</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20"/>
        <w:jc w:val="left"/>
        <w:rPr>
          <w:rFonts w:hint="eastAsia" w:ascii="宋体" w:hAnsi="宋体" w:eastAsia="宋体" w:cs="宋体"/>
          <w:color w:val="333333"/>
          <w:kern w:val="0"/>
          <w:sz w:val="24"/>
          <w:szCs w:val="24"/>
          <w:bdr w:val="none" w:color="auto" w:sz="0" w:space="0"/>
          <w:lang w:val="en-US" w:eastAsia="zh-CN" w:bidi="ar"/>
        </w:rPr>
      </w:pPr>
      <w:r>
        <w:rPr>
          <w:rFonts w:hint="eastAsia" w:ascii="宋体" w:hAnsi="宋体" w:eastAsia="宋体" w:cs="宋体"/>
          <w:color w:val="333333"/>
          <w:kern w:val="0"/>
          <w:sz w:val="24"/>
          <w:szCs w:val="24"/>
          <w:bdr w:val="none" w:color="auto" w:sz="0" w:space="0"/>
          <w:lang w:val="en-US" w:eastAsia="zh-CN" w:bidi="ar"/>
        </w:rPr>
        <w:t>本年土地购置面积　指房地产开发企业本年通过各种方式获得土地使用权的土地面积。</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20"/>
        <w:jc w:val="left"/>
      </w:pPr>
      <w:r>
        <w:rPr>
          <w:rFonts w:hint="eastAsia" w:ascii="宋体" w:hAnsi="宋体" w:eastAsia="宋体" w:cs="宋体"/>
          <w:color w:val="333333"/>
          <w:kern w:val="0"/>
          <w:sz w:val="24"/>
          <w:szCs w:val="24"/>
          <w:bdr w:val="none" w:color="auto" w:sz="0" w:space="0"/>
          <w:lang w:val="en-US" w:eastAsia="zh-CN" w:bidi="ar"/>
        </w:rPr>
        <w:t>本年土地成交价款　指房地产开发企业本年进行土地使用权交易活动的最终金额。在土地一级市场，是指土地最后的划拨款、“招拍挂”价格和出让价；在土地二级市场是指土地转让、出租、抵押等最后确定的合同价格。土地成交价款与土地购置面积同口径。</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20"/>
        <w:jc w:val="left"/>
        <w:rPr>
          <w:rFonts w:hint="eastAsia" w:ascii="宋体" w:hAnsi="宋体" w:eastAsia="宋体" w:cs="宋体"/>
          <w:color w:val="333333"/>
          <w:kern w:val="0"/>
          <w:sz w:val="24"/>
          <w:szCs w:val="24"/>
          <w:bdr w:val="none" w:color="auto" w:sz="0" w:space="0"/>
          <w:lang w:val="en-US" w:eastAsia="zh-CN" w:bidi="ar"/>
        </w:rPr>
      </w:pPr>
      <w:r>
        <w:rPr>
          <w:rFonts w:hint="eastAsia" w:ascii="宋体" w:hAnsi="宋体" w:eastAsia="宋体" w:cs="宋体"/>
          <w:color w:val="333333"/>
          <w:kern w:val="0"/>
          <w:sz w:val="24"/>
          <w:szCs w:val="24"/>
          <w:bdr w:val="none" w:color="auto" w:sz="0" w:space="0"/>
          <w:lang w:val="en-US" w:eastAsia="zh-CN" w:bidi="ar"/>
        </w:rPr>
        <w:t>土地购置费　指房地产开发企业通过各种方式取得土地使用权而支付的费用。土地购置费按本年实际发生额计入投资。土地购置费为分期付款的，分期计入房地产开发投资。</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20"/>
        <w:jc w:val="left"/>
      </w:pPr>
      <w:r>
        <w:rPr>
          <w:rFonts w:hint="eastAsia" w:ascii="宋体" w:hAnsi="宋体" w:eastAsia="宋体" w:cs="宋体"/>
          <w:color w:val="333333"/>
          <w:kern w:val="0"/>
          <w:sz w:val="24"/>
          <w:szCs w:val="24"/>
          <w:bdr w:val="none" w:color="auto" w:sz="0" w:space="0"/>
          <w:lang w:val="en-US" w:eastAsia="zh-CN" w:bidi="ar"/>
        </w:rPr>
        <w:t>计划总投资　指房地产开发企业在建的建设工程按照总体设计（或按设计概算或预算）规定的内容全部建成计划需要的总投资。</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bdr w:val="none" w:color="auto" w:sz="0" w:space="0"/>
          <w:lang w:val="en-US" w:eastAsia="zh-CN" w:bidi="ar"/>
        </w:rPr>
        <w:t> </w:t>
      </w:r>
      <w:r>
        <w:rPr>
          <w:rFonts w:hint="eastAsia" w:ascii="Times New Roman" w:hAnsi="Times New Roman" w:eastAsia="宋体" w:cs="Times New Roman"/>
          <w:color w:val="333333"/>
          <w:kern w:val="0"/>
          <w:sz w:val="24"/>
          <w:szCs w:val="24"/>
          <w:bdr w:val="none" w:color="auto" w:sz="0" w:space="0"/>
          <w:lang w:val="en-US" w:eastAsia="zh-CN" w:bidi="ar"/>
        </w:rPr>
        <w:t xml:space="preserve">   </w:t>
      </w:r>
      <w:r>
        <w:rPr>
          <w:rFonts w:hint="eastAsia" w:ascii="宋体" w:hAnsi="宋体" w:eastAsia="宋体" w:cs="宋体"/>
          <w:color w:val="333333"/>
          <w:kern w:val="0"/>
          <w:sz w:val="24"/>
          <w:szCs w:val="24"/>
          <w:bdr w:val="none" w:color="auto" w:sz="0" w:space="0"/>
          <w:lang w:val="en-US" w:eastAsia="zh-CN" w:bidi="ar"/>
        </w:rPr>
        <w:t>自开始建设累计完成投资　指房地产开发企业在建的房屋建设工程或正在开发的土地开发工程从开始建设到本年末止累计完成的全部投资。</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firstLineChars="200"/>
        <w:jc w:val="left"/>
        <w:rPr>
          <w:rFonts w:hint="eastAsia" w:ascii="宋体" w:hAnsi="宋体" w:eastAsia="宋体" w:cs="宋体"/>
          <w:color w:val="333333"/>
          <w:kern w:val="0"/>
          <w:sz w:val="24"/>
          <w:szCs w:val="24"/>
          <w:bdr w:val="none" w:color="auto" w:sz="0" w:space="0"/>
          <w:lang w:val="en-US" w:eastAsia="zh-CN" w:bidi="ar"/>
        </w:rPr>
      </w:pPr>
      <w:r>
        <w:rPr>
          <w:rFonts w:hint="eastAsia" w:ascii="宋体" w:hAnsi="宋体" w:eastAsia="宋体" w:cs="宋体"/>
          <w:color w:val="333333"/>
          <w:kern w:val="0"/>
          <w:sz w:val="24"/>
          <w:szCs w:val="24"/>
          <w:bdr w:val="none" w:color="auto" w:sz="0" w:space="0"/>
          <w:lang w:val="en-US" w:eastAsia="zh-CN" w:bidi="ar"/>
        </w:rPr>
        <w:t>房地产开发投资　指房地产开发企业本年完成的全部用于房屋建设工程、土地开发工程的投资额以及公益性建筑和土地购置费等的投资。</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firstLineChars="200"/>
        <w:jc w:val="left"/>
      </w:pPr>
      <w:r>
        <w:rPr>
          <w:rFonts w:hint="eastAsia" w:ascii="宋体" w:hAnsi="宋体" w:eastAsia="宋体" w:cs="宋体"/>
          <w:color w:val="333333"/>
          <w:kern w:val="0"/>
          <w:sz w:val="24"/>
          <w:szCs w:val="24"/>
          <w:bdr w:val="none" w:color="auto" w:sz="0" w:space="0"/>
          <w:lang w:val="en-US" w:eastAsia="zh-CN" w:bidi="ar"/>
        </w:rPr>
        <w:t>本年实际到位资金　指房地产开发企业本年实际到位的，可用于房地产开发的各种货币资金。包括国内贷款、利用外资、自筹资金、定金及预收款、个人按揭贷款和其他资金。</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bdr w:val="none" w:color="auto" w:sz="0" w:space="0"/>
          <w:lang w:val="en-US" w:eastAsia="zh-CN" w:bidi="ar"/>
        </w:rPr>
        <w:t> </w:t>
      </w:r>
      <w:r>
        <w:rPr>
          <w:rFonts w:hint="eastAsia" w:ascii="Times New Roman" w:hAnsi="Times New Roman" w:eastAsia="宋体" w:cs="Times New Roman"/>
          <w:color w:val="333333"/>
          <w:kern w:val="0"/>
          <w:sz w:val="24"/>
          <w:szCs w:val="24"/>
          <w:bdr w:val="none" w:color="auto" w:sz="0" w:space="0"/>
          <w:lang w:val="en-US" w:eastAsia="zh-CN" w:bidi="ar"/>
        </w:rPr>
        <w:t xml:space="preserve">   </w:t>
      </w:r>
      <w:r>
        <w:rPr>
          <w:rFonts w:hint="eastAsia" w:ascii="宋体" w:hAnsi="宋体" w:eastAsia="宋体" w:cs="宋体"/>
          <w:color w:val="333333"/>
          <w:kern w:val="0"/>
          <w:sz w:val="24"/>
          <w:szCs w:val="24"/>
          <w:bdr w:val="none" w:color="auto" w:sz="0" w:space="0"/>
          <w:lang w:val="en-US" w:eastAsia="zh-CN" w:bidi="ar"/>
        </w:rPr>
        <w:t>房屋施工面积　指房地产开发企业本年施工的全部房屋建筑面积。包括本年新开工的房屋建筑面积、上年跨入本年继续施工的房屋建筑面积、上年停缓建在本年恢复施工的房屋建筑面积、本年竣工的房屋建筑面积以及本年施工后又停缓建的房屋建筑面积。多层建筑应填各层建筑面积之和。</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bdr w:val="none" w:color="auto" w:sz="0" w:space="0"/>
          <w:lang w:val="en-US" w:eastAsia="zh-CN" w:bidi="ar"/>
        </w:rPr>
        <w:t> </w:t>
      </w:r>
      <w:r>
        <w:rPr>
          <w:rFonts w:hint="eastAsia" w:ascii="Times New Roman" w:hAnsi="Times New Roman" w:eastAsia="宋体" w:cs="Times New Roman"/>
          <w:color w:val="333333"/>
          <w:kern w:val="0"/>
          <w:sz w:val="24"/>
          <w:szCs w:val="24"/>
          <w:bdr w:val="none" w:color="auto" w:sz="0" w:space="0"/>
          <w:lang w:val="en-US" w:eastAsia="zh-CN" w:bidi="ar"/>
        </w:rPr>
        <w:t xml:space="preserve">   </w:t>
      </w:r>
      <w:r>
        <w:rPr>
          <w:rFonts w:hint="eastAsia" w:ascii="宋体" w:hAnsi="宋体" w:eastAsia="宋体" w:cs="宋体"/>
          <w:color w:val="333333"/>
          <w:kern w:val="0"/>
          <w:sz w:val="24"/>
          <w:szCs w:val="24"/>
          <w:bdr w:val="none" w:color="auto" w:sz="0" w:space="0"/>
          <w:lang w:val="en-US" w:eastAsia="zh-CN" w:bidi="ar"/>
        </w:rPr>
        <w:t>房屋新开工面积　指房地产开发企业本年新开工建设的房屋建筑面积，以单位工程为核算对象。不包括在上年开工跨入本年继续施工的房屋建筑面积和上年停缓建而在本年恢复施工的房屋建筑面积。房屋的开工应以房屋正式开始破土刨槽（地基处理或打永久桩）的日期为准。房屋新开工面积指整栋房屋的全部建筑面积，不能分割计算。</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bdr w:val="none" w:color="auto" w:sz="0" w:space="0"/>
          <w:lang w:val="en-US" w:eastAsia="zh-CN" w:bidi="ar"/>
        </w:rPr>
        <w:t> </w:t>
      </w:r>
      <w:r>
        <w:rPr>
          <w:rFonts w:hint="eastAsia" w:ascii="Times New Roman" w:hAnsi="Times New Roman" w:eastAsia="宋体" w:cs="Times New Roman"/>
          <w:color w:val="333333"/>
          <w:kern w:val="0"/>
          <w:sz w:val="24"/>
          <w:szCs w:val="24"/>
          <w:bdr w:val="none" w:color="auto" w:sz="0" w:space="0"/>
          <w:lang w:val="en-US" w:eastAsia="zh-CN" w:bidi="ar"/>
        </w:rPr>
        <w:t xml:space="preserve">   </w:t>
      </w:r>
      <w:r>
        <w:rPr>
          <w:rFonts w:hint="eastAsia" w:ascii="宋体" w:hAnsi="宋体" w:eastAsia="宋体" w:cs="宋体"/>
          <w:color w:val="333333"/>
          <w:kern w:val="0"/>
          <w:sz w:val="24"/>
          <w:szCs w:val="24"/>
          <w:bdr w:val="none" w:color="auto" w:sz="0" w:space="0"/>
          <w:lang w:val="en-US" w:eastAsia="zh-CN" w:bidi="ar"/>
        </w:rPr>
        <w:t>房屋竣工面积　指房地产开发企业本年按照设计要求已全部完工，达到住人和使用条件，经验收鉴定合格或达到竣工验收标准，可正式移交使用的各栋房屋建筑面积的总和。</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firstLine="480" w:firstLineChars="200"/>
        <w:jc w:val="left"/>
      </w:pPr>
      <w:r>
        <w:rPr>
          <w:rFonts w:hint="eastAsia" w:ascii="宋体" w:hAnsi="宋体" w:eastAsia="宋体" w:cs="宋体"/>
          <w:color w:val="333333"/>
          <w:kern w:val="0"/>
          <w:sz w:val="24"/>
          <w:szCs w:val="24"/>
          <w:bdr w:val="none" w:color="auto" w:sz="0" w:space="0"/>
          <w:lang w:val="en-US" w:eastAsia="zh-CN" w:bidi="ar"/>
        </w:rPr>
        <w:t>商品房销售面积　指房地产开发企业本年出售商品房屋的合同总面积（即双方签署的正式买卖合同中所确定的建筑面积）。</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28" w:beforeAutospacing="0" w:after="0" w:afterAutospacing="0" w:line="375" w:lineRule="atLeast"/>
        <w:ind w:left="0" w:right="0"/>
        <w:jc w:val="left"/>
      </w:pPr>
      <w:r>
        <w:rPr>
          <w:rFonts w:hint="default" w:ascii="Times New Roman" w:hAnsi="Times New Roman" w:eastAsia="宋体" w:cs="Times New Roman"/>
          <w:color w:val="333333"/>
          <w:kern w:val="0"/>
          <w:sz w:val="24"/>
          <w:szCs w:val="24"/>
          <w:bdr w:val="none" w:color="auto" w:sz="0" w:space="0"/>
          <w:lang w:val="en-US" w:eastAsia="zh-CN" w:bidi="ar"/>
        </w:rPr>
        <w:t> </w:t>
      </w:r>
      <w:r>
        <w:rPr>
          <w:rFonts w:hint="eastAsia" w:ascii="Times New Roman" w:hAnsi="Times New Roman" w:eastAsia="宋体" w:cs="Times New Roman"/>
          <w:color w:val="333333"/>
          <w:kern w:val="0"/>
          <w:sz w:val="24"/>
          <w:szCs w:val="24"/>
          <w:bdr w:val="none" w:color="auto" w:sz="0" w:space="0"/>
          <w:lang w:val="en-US" w:eastAsia="zh-CN" w:bidi="ar"/>
        </w:rPr>
        <w:t xml:space="preserve">   </w:t>
      </w:r>
      <w:r>
        <w:rPr>
          <w:rFonts w:hint="eastAsia" w:ascii="宋体" w:hAnsi="宋体" w:eastAsia="宋体" w:cs="宋体"/>
          <w:color w:val="333333"/>
          <w:kern w:val="0"/>
          <w:sz w:val="24"/>
          <w:szCs w:val="24"/>
          <w:bdr w:val="none" w:color="auto" w:sz="0" w:space="0"/>
          <w:lang w:val="en-US" w:eastAsia="zh-CN" w:bidi="ar"/>
        </w:rPr>
        <w:t>商品房销售额　指房地产开发企业本年出售商品房屋的合同总价款（即双方签署的正式买卖合同中所确定的合同总价）。该指标与商品房销售面积同口径。</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792395"/>
    <w:rsid w:val="136935D5"/>
    <w:rsid w:val="318B2F82"/>
    <w:rsid w:val="66BB158D"/>
    <w:rsid w:val="6EEE1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FollowedHyperlink"/>
    <w:basedOn w:val="4"/>
    <w:uiPriority w:val="0"/>
    <w:rPr>
      <w:color w:val="333333"/>
      <w:u w:val="none"/>
    </w:rPr>
  </w:style>
  <w:style w:type="character" w:styleId="6">
    <w:name w:val="Hyperlink"/>
    <w:basedOn w:val="4"/>
    <w:uiPriority w:val="0"/>
    <w:rPr>
      <w:color w:val="333333"/>
      <w:u w:val="none"/>
    </w:rPr>
  </w:style>
  <w:style w:type="character" w:customStyle="1" w:styleId="7">
    <w:name w:val="xilan_titf1"/>
    <w:basedOn w:val="4"/>
    <w:uiPriority w:val="0"/>
    <w:rPr>
      <w:color w:val="333333"/>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2020-12-04T09:22:00Z</dcterms:created>
  <dc:creator>20200619</dc:creator>
  <cp:lastModifiedBy>20200619</cp:lastModifiedBy>
  <dcterms:modified xsi:type="dcterms:W3CDTF">2020-12-04T09:38:38Z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