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F9CE3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b/>
          <w:i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  <w:t>乡宁县司法局</w:t>
      </w:r>
    </w:p>
    <w:p w14:paraId="4AECC72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  <w:t>2024年</w:t>
      </w: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color w:val="auto"/>
          <w:spacing w:val="0"/>
          <w:sz w:val="44"/>
          <w:szCs w:val="44"/>
          <w:shd w:val="clear" w:fill="FFFFFF"/>
        </w:rPr>
        <w:t>政府信息公开工作年度报告</w:t>
      </w:r>
    </w:p>
    <w:p w14:paraId="64FC20AC">
      <w:pPr>
        <w:spacing w:before="81" w:line="220" w:lineRule="auto"/>
        <w:ind w:left="1098"/>
        <w:outlineLvl w:val="1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-14"/>
          <w:sz w:val="32"/>
          <w:szCs w:val="32"/>
        </w:rPr>
        <w:t>一、总体情况</w:t>
      </w:r>
    </w:p>
    <w:p w14:paraId="7AB9ACA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210" w:leftChars="100" w:right="210" w:rightChars="100" w:firstLine="640" w:firstLineChars="200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根据《中华人民共和国政府信息公开条例》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按照县政府关于做好政府信息公开工作的要求，在县政府办的正确指导下，县司法局以讲担当、重实干为工作导向，围绕服务全县大局，明确任务，依法依规做好政府信息主动公开和依申请公开工作，切实保障群众的知情权、参与权、监督权和表达权。现将2024年度政府信息公开工作情况报告如下：</w:t>
      </w:r>
    </w:p>
    <w:p w14:paraId="5BD31EE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210" w:leftChars="100" w:right="210" w:rightChars="100" w:firstLine="640" w:firstLineChars="200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（一）主动公开。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2024年主动公开信息132条，在乡宁县人民政府网上发布信息10条：乡宁县2023年法治政府建设情况报告、乡宁县公开招聘司法协理员公告、乡宁县公开选聘司法协理员公告、乡宁县2024年公开招（选）聘司法协理员考务费用减免及笔试公告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乡宁县2024年公开招（选）聘司法协理员笔试成绩公布公告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乡宁县2024年公开招(选)聘司法协理员考核及资格复审公告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乡宁县2024年公开招聘司法协理员面试公告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乡宁县2024年公开选聘司法协理员考核成绩、体检及公开招聘司法协理员综合成绩、体检考察公告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乡宁县2024年公开招（选）聘司法协理员拟聘人员公示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乡宁县人民政府办公室关于印发《乡宁县人民政府下放乡镇人民政府行政执法事项清单（2024年版）》的通知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乡政办发〔2024〕63 号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等重要信息；通过“乡宁普法”微信公众号推送信息123条，其中工作动态3条，普法短剧3条，信息公开内容覆盖司法行政各方面工作。做到了信息公开及时准确、依法依规，保障了社会公众的知情权，方便了公众对公开信息的查询和监督。</w:t>
      </w:r>
    </w:p>
    <w:p w14:paraId="6BFE70E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210" w:leftChars="100" w:right="210" w:rightChars="100" w:firstLine="640" w:firstLineChars="200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（二）依申请公开。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县司法局今年未收到依申请公开政府信息，不予公开政府信息无。未发生因违反政府信息公开工作规定而出现投诉、复议、诉讼情况。</w:t>
      </w:r>
    </w:p>
    <w:p w14:paraId="5F0FEFF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210" w:leftChars="100" w:right="210" w:rightChars="100" w:firstLine="640" w:firstLineChars="200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（三）信息管理。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 xml:space="preserve">落实信息收集、审查、处理机制。在日常工作中，由办公室主动收集各业务股室产生的政务信息，根据工作需要将要情上报市司法局及县政府办。根据政府信息公开审查机制，按照“先审查，后公开”“一事一审”原则及保密审查的要求，结合我局公文制作和运转流程，将不宜公开的事项，依法进行存档、保管。经审查依法应当公开的事项，及时准确向社会公开，确保政府信息规范管理。  </w:t>
      </w:r>
    </w:p>
    <w:p w14:paraId="3A57719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210" w:leftChars="100" w:right="210" w:rightChars="100" w:firstLine="640" w:firstLineChars="200"/>
        <w:jc w:val="left"/>
        <w:textAlignment w:val="baseline"/>
        <w:rPr>
          <w:rFonts w:hint="eastAsia" w:ascii="黑体" w:hAnsi="黑体" w:eastAsia="黑体" w:cs="黑体"/>
          <w:i w:val="0"/>
          <w:caps w:val="0"/>
          <w:color w:val="auto"/>
          <w:spacing w:val="0"/>
          <w:sz w:val="32"/>
          <w:szCs w:val="32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（四）监督保障。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按照县委、县政府的要求，凡是公开内容均通过审查登记，把好信息公开第一关。严格落实“乡宁普法”微信公众号信息发布审签制度，局主要领导和分管领导亲自审查稿件内容。全年未收到社会评议，未受到信息公开责任追究。</w:t>
      </w:r>
    </w:p>
    <w:p w14:paraId="76E2575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210" w:leftChars="100" w:right="210" w:rightChars="100" w:firstLine="640" w:firstLineChars="200"/>
        <w:jc w:val="both"/>
        <w:textAlignment w:val="auto"/>
        <w:rPr>
          <w:rFonts w:hint="eastAsia" w:ascii="黑体" w:hAnsi="黑体" w:eastAsia="黑体" w:cs="黑体"/>
          <w:i w:val="0"/>
          <w:caps w:val="0"/>
          <w:color w:val="auto"/>
          <w:spacing w:val="0"/>
          <w:sz w:val="32"/>
          <w:szCs w:val="32"/>
        </w:rPr>
      </w:pPr>
      <w:r>
        <w:rPr>
          <w:rFonts w:hint="eastAsia" w:ascii="黑体" w:hAnsi="黑体" w:eastAsia="黑体" w:cs="黑体"/>
          <w:i w:val="0"/>
          <w:caps w:val="0"/>
          <w:color w:val="auto"/>
          <w:spacing w:val="0"/>
          <w:sz w:val="32"/>
          <w:szCs w:val="32"/>
        </w:rPr>
        <w:t>二、主动公开政府信息情况</w:t>
      </w:r>
    </w:p>
    <w:p w14:paraId="79E451D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</w:rPr>
      </w:pPr>
    </w:p>
    <w:tbl>
      <w:tblPr>
        <w:tblStyle w:val="6"/>
        <w:tblW w:w="9740" w:type="dxa"/>
        <w:jc w:val="center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35"/>
        <w:gridCol w:w="2435"/>
        <w:gridCol w:w="2435"/>
        <w:gridCol w:w="2435"/>
      </w:tblGrid>
      <w:tr w14:paraId="25FD39B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00804E5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 w14:paraId="3BAC5B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463F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E2E6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本年制发件数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AFA2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13AE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现行有效件数</w:t>
            </w:r>
          </w:p>
        </w:tc>
      </w:tr>
      <w:tr w14:paraId="1BCC6F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A260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4D2A3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　　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5858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 　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ADFB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auto"/>
              </w:rPr>
            </w:pPr>
            <w:r>
              <w:rPr>
                <w:rFonts w:ascii="Calibri" w:hAnsi="Calibri" w:cs="Calibri" w:eastAsia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</w:tr>
      <w:tr w14:paraId="790C61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3B90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B9E3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color w:val="auto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 xml:space="preserve">　　   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2098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 　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A65C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auto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</w:tr>
      <w:tr w14:paraId="278FC7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56037A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 w14:paraId="360EA0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22E7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872E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38B89D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81D5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7324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auto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</w:tr>
      <w:tr w14:paraId="703E01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1D19A0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 w14:paraId="5DEE73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ADAE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582D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710170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8B17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6948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　</w:t>
            </w:r>
          </w:p>
        </w:tc>
      </w:tr>
      <w:tr w14:paraId="52C229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0130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47A9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　</w:t>
            </w:r>
          </w:p>
        </w:tc>
      </w:tr>
      <w:tr w14:paraId="0C11A3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 w14:paraId="55D6039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 w14:paraId="4CBE67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6E0FA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7316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 w14:paraId="1058CB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38F1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C006D9B">
            <w:pPr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</w:tr>
    </w:tbl>
    <w:p w14:paraId="7885906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both"/>
        <w:rPr>
          <w:rFonts w:hint="eastAsia" w:ascii="黑体" w:hAnsi="黑体" w:eastAsia="黑体" w:cs="黑体"/>
          <w:i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</w:p>
    <w:p w14:paraId="5728B0B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210" w:leftChars="100" w:right="210" w:rightChars="100" w:firstLine="640" w:firstLineChars="200"/>
        <w:jc w:val="both"/>
        <w:textAlignment w:val="auto"/>
        <w:rPr>
          <w:rFonts w:hint="eastAsia" w:ascii="黑体" w:hAnsi="黑体" w:eastAsia="黑体" w:cs="黑体"/>
          <w:i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三、收到和处理政府信息公开申请情况</w:t>
      </w:r>
    </w:p>
    <w:p w14:paraId="7B241AAC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</w:rPr>
      </w:pPr>
    </w:p>
    <w:tbl>
      <w:tblPr>
        <w:tblStyle w:val="6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9"/>
        <w:gridCol w:w="947"/>
        <w:gridCol w:w="3214"/>
        <w:gridCol w:w="688"/>
        <w:gridCol w:w="688"/>
        <w:gridCol w:w="688"/>
        <w:gridCol w:w="688"/>
        <w:gridCol w:w="688"/>
        <w:gridCol w:w="689"/>
        <w:gridCol w:w="689"/>
      </w:tblGrid>
      <w:tr w14:paraId="6E4AD07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0469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auto"/>
                <w:sz w:val="24"/>
                <w:szCs w:val="32"/>
              </w:rPr>
            </w:pPr>
            <w:r>
              <w:rPr>
                <w:rFonts w:ascii="楷体" w:hAnsi="楷体" w:eastAsia="楷体" w:cs="楷体"/>
                <w:color w:val="auto"/>
                <w:kern w:val="0"/>
                <w:sz w:val="22"/>
                <w:szCs w:val="22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998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7E7DF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申请人情况</w:t>
            </w:r>
          </w:p>
        </w:tc>
      </w:tr>
      <w:tr w14:paraId="77D2F78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0FF18A">
            <w:pPr>
              <w:rPr>
                <w:rFonts w:hint="eastAsia" w:ascii="宋体"/>
                <w:color w:val="auto"/>
                <w:sz w:val="32"/>
                <w:szCs w:val="32"/>
              </w:rPr>
            </w:pPr>
          </w:p>
        </w:tc>
        <w:tc>
          <w:tcPr>
            <w:tcW w:w="71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F96C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自然人</w:t>
            </w:r>
          </w:p>
        </w:tc>
        <w:tc>
          <w:tcPr>
            <w:tcW w:w="35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6236D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法人或其他组织</w:t>
            </w:r>
          </w:p>
        </w:tc>
        <w:tc>
          <w:tcPr>
            <w:tcW w:w="714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3B75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总计</w:t>
            </w:r>
          </w:p>
        </w:tc>
      </w:tr>
      <w:tr w14:paraId="2670DF6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5D7392">
            <w:pPr>
              <w:rPr>
                <w:rFonts w:hint="eastAsia" w:ascii="宋体"/>
                <w:color w:val="auto"/>
                <w:sz w:val="32"/>
                <w:szCs w:val="32"/>
              </w:rPr>
            </w:pPr>
          </w:p>
        </w:tc>
        <w:tc>
          <w:tcPr>
            <w:tcW w:w="71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F6D9FB">
            <w:pPr>
              <w:rPr>
                <w:rFonts w:hint="eastAsia" w:ascii="宋体"/>
                <w:color w:val="auto"/>
                <w:sz w:val="32"/>
                <w:szCs w:val="3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79B4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商业</w:t>
            </w:r>
          </w:p>
          <w:p w14:paraId="40409B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企业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DDCEA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科研</w:t>
            </w:r>
          </w:p>
          <w:p w14:paraId="0BFB12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2CC6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社会公益组织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9F80F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法律服务机构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0592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  <w:tc>
          <w:tcPr>
            <w:tcW w:w="714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29BA59">
            <w:pPr>
              <w:rPr>
                <w:rFonts w:hint="eastAsia" w:ascii="宋体"/>
                <w:color w:val="auto"/>
                <w:sz w:val="32"/>
                <w:szCs w:val="32"/>
              </w:rPr>
            </w:pPr>
          </w:p>
        </w:tc>
      </w:tr>
      <w:tr w14:paraId="6E2B33A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23E0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1C10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AC648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70D2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34581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0F9F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CC95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589F102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 w14:paraId="6729ABE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F00CA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2199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A8A0F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5E9E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CE29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BA9F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692E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589C618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 w14:paraId="0428BBE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CA6C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三、本年度办理结果</w:t>
            </w: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E86F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（一）予以公开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38C7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1C87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FAB06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06F8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1D68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BF156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78D7C9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 w14:paraId="4323D48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726636">
            <w:pPr>
              <w:rPr>
                <w:rFonts w:hint="eastAsia" w:ascii="宋体"/>
                <w:color w:val="auto"/>
                <w:sz w:val="32"/>
                <w:szCs w:val="32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164F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color w:val="auto"/>
                <w:kern w:val="0"/>
                <w:sz w:val="22"/>
                <w:szCs w:val="22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CF8F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9B31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00012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45388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64FC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987B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2F506D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 w14:paraId="7ED94F5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0A4B5E">
            <w:pPr>
              <w:rPr>
                <w:rFonts w:hint="eastAsia" w:ascii="宋体"/>
                <w:color w:val="auto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9677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（三）不予公开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4952FD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1.属于国家秘密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693FEB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693B8C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7D3CC1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554D47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78AC14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3DB0C3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7A3EF9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 w14:paraId="4A30C37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B26EB2">
            <w:pPr>
              <w:rPr>
                <w:rFonts w:hint="eastAsia" w:ascii="宋体"/>
                <w:color w:val="auto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728B00">
            <w:pPr>
              <w:rPr>
                <w:rFonts w:hint="eastAsia" w:ascii="宋体"/>
                <w:color w:val="auto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60C06D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2.其他法律行政法规禁止公开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45685D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7539B8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258769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7C6A12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6F7298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48A0C6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6395E3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 w14:paraId="3534EC1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A24D41">
            <w:pPr>
              <w:rPr>
                <w:rFonts w:hint="eastAsia" w:ascii="宋体"/>
                <w:color w:val="auto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11C37B">
            <w:pPr>
              <w:rPr>
                <w:rFonts w:hint="eastAsia" w:ascii="宋体"/>
                <w:color w:val="auto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62A5A7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3.危及“三安全一稳定”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5EF870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1D08CC9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0EAC11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72E8CE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21772A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551359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3D2F62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 w14:paraId="5C50A10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DB1AA4">
            <w:pPr>
              <w:rPr>
                <w:rFonts w:hint="eastAsia" w:ascii="宋体"/>
                <w:color w:val="auto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E4B36E">
            <w:pPr>
              <w:rPr>
                <w:rFonts w:hint="eastAsia" w:ascii="宋体"/>
                <w:color w:val="auto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402FE4A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4.保护第三方合法权益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20F28F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49B50B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294D14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72DB8F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4433C2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6A7318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541A0E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 w14:paraId="399169D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9741B8">
            <w:pPr>
              <w:rPr>
                <w:rFonts w:hint="eastAsia" w:ascii="宋体"/>
                <w:color w:val="auto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B8AA0D">
            <w:pPr>
              <w:rPr>
                <w:rFonts w:hint="eastAsia" w:ascii="宋体"/>
                <w:color w:val="auto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418906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5.属于三类内部事务信息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19B9D0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357F65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419692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26ACEA4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6B2DD74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71FCAA4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1C5A3C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 w14:paraId="4E3C2D3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C89B09">
            <w:pPr>
              <w:rPr>
                <w:rFonts w:hint="eastAsia" w:ascii="宋体"/>
                <w:color w:val="auto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628857">
            <w:pPr>
              <w:rPr>
                <w:rFonts w:hint="eastAsia" w:ascii="宋体"/>
                <w:color w:val="auto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32AE6C5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6.属于四类过程性信息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6F1BE8F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538CAE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34D2D2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5C281E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35117A9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6FB5EC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7B09E7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 w14:paraId="6B5EE16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0A69E7">
            <w:pPr>
              <w:rPr>
                <w:rFonts w:hint="eastAsia" w:ascii="宋体"/>
                <w:color w:val="auto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54AC2A">
            <w:pPr>
              <w:rPr>
                <w:rFonts w:hint="eastAsia" w:ascii="宋体"/>
                <w:color w:val="auto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015006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7.属于行政执法案卷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2A81F9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356088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4AD23A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38EDEE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21E7D23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102E7B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2DA8FF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 w14:paraId="0DD6CC7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E9647F">
            <w:pPr>
              <w:rPr>
                <w:rFonts w:hint="eastAsia" w:ascii="宋体"/>
                <w:color w:val="auto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0C0943">
            <w:pPr>
              <w:rPr>
                <w:rFonts w:hint="eastAsia" w:ascii="宋体"/>
                <w:color w:val="auto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55CDE0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8.属于行政查询事项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33514D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48E389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702767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2DE63F9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624C50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01C46AB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2FD502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 w14:paraId="2616AA3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47606F">
            <w:pPr>
              <w:rPr>
                <w:rFonts w:hint="eastAsia" w:ascii="宋体"/>
                <w:color w:val="auto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DA68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（四）无法提供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335DBB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1.本机关不掌握相关政府信息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623981A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60636BD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4A5928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633023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756BAB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2D0AD8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14A730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 w14:paraId="59E5678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3E4825">
            <w:pPr>
              <w:rPr>
                <w:rFonts w:hint="eastAsia" w:ascii="宋体"/>
                <w:color w:val="auto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FD8E5E">
            <w:pPr>
              <w:rPr>
                <w:rFonts w:hint="eastAsia" w:ascii="宋体"/>
                <w:color w:val="auto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3E0E09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2.没有现成信息需要另行制作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5863AA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0C782C2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1E9E34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1B362B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2301759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1748AC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6BE450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 w14:paraId="3D3624E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1EBB22">
            <w:pPr>
              <w:rPr>
                <w:rFonts w:hint="eastAsia" w:ascii="宋体"/>
                <w:color w:val="auto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AF66526">
            <w:pPr>
              <w:rPr>
                <w:rFonts w:hint="eastAsia" w:ascii="宋体"/>
                <w:color w:val="auto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0DFE004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3.补正后申请内容仍不明确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32BF57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4531B6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258CCB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311B52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489D4D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3D7FF7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66AA73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 w14:paraId="5AFD8DC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A72B68C">
            <w:pPr>
              <w:rPr>
                <w:rFonts w:hint="eastAsia" w:ascii="宋体"/>
                <w:color w:val="auto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13FF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（五）不予处理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1A1620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1.信访举报投诉类申请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131B7D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7F72F8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68D683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6C8290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0859432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4A68FC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19D826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 w14:paraId="3238899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4208F1">
            <w:pPr>
              <w:rPr>
                <w:rFonts w:hint="eastAsia" w:ascii="宋体"/>
                <w:color w:val="auto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7A0CB9">
            <w:pPr>
              <w:rPr>
                <w:rFonts w:hint="eastAsia" w:ascii="宋体"/>
                <w:color w:val="auto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285AC66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2.重复申请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07C1437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3D4442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79EB24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1F9337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7CF9EB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24C161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6A8A58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 w14:paraId="2BF878F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368750">
            <w:pPr>
              <w:rPr>
                <w:rFonts w:hint="eastAsia" w:ascii="宋体"/>
                <w:color w:val="auto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26A66BD">
            <w:pPr>
              <w:rPr>
                <w:rFonts w:hint="eastAsia" w:ascii="宋体"/>
                <w:color w:val="auto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719624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3.要求提供公开出版物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1CAA222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29611A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218923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05791A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175477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08C8DF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198BA3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 w14:paraId="28BAB5F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CFFAED">
            <w:pPr>
              <w:rPr>
                <w:rFonts w:hint="eastAsia" w:ascii="宋体"/>
                <w:color w:val="auto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383874">
            <w:pPr>
              <w:rPr>
                <w:rFonts w:hint="eastAsia" w:ascii="宋体"/>
                <w:color w:val="auto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3A319A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4.无正当理由大量反复申请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2413EB3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6EA8D1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50BD8A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34491D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7C27629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4C47A6D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764865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 w14:paraId="33561C4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88E816">
            <w:pPr>
              <w:rPr>
                <w:rFonts w:hint="eastAsia" w:ascii="宋体"/>
                <w:color w:val="auto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16F008">
            <w:pPr>
              <w:rPr>
                <w:rFonts w:hint="eastAsia" w:ascii="宋体"/>
                <w:color w:val="auto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C6F97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2CEEC6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11CEF5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48932A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20795BF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32A8CF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243CAC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05D6AAA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 w14:paraId="27D4C1E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288D77">
            <w:pPr>
              <w:rPr>
                <w:rFonts w:hint="eastAsia" w:ascii="宋体"/>
                <w:color w:val="auto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6A480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（六）其他处理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3F57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F1AD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E20E7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B057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7CBA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99B24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9854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1B78F7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 w14:paraId="1A4D441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034EC7">
            <w:pPr>
              <w:rPr>
                <w:rFonts w:hint="eastAsia" w:ascii="宋体"/>
                <w:color w:val="auto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23D925">
            <w:pPr>
              <w:rPr>
                <w:rFonts w:hint="eastAsia" w:ascii="宋体"/>
                <w:color w:val="auto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2BD7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0A79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DD47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C082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5C68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7808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B659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47CBF9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 w14:paraId="00365D3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26E6D9">
            <w:pPr>
              <w:rPr>
                <w:rFonts w:hint="eastAsia" w:ascii="宋体"/>
                <w:color w:val="auto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5C98A0">
            <w:pPr>
              <w:rPr>
                <w:rFonts w:hint="eastAsia" w:ascii="宋体"/>
                <w:color w:val="auto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39985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3.其他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888DB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AAC1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132C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4813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37E05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A84D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705A01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 w14:paraId="1389F8E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A419E7">
            <w:pPr>
              <w:rPr>
                <w:rFonts w:hint="eastAsia" w:ascii="宋体"/>
                <w:color w:val="auto"/>
                <w:sz w:val="32"/>
                <w:szCs w:val="32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2B285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（七）总计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5ED60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AC2D9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F4132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4CC5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5D3C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7CE8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0A7983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 w14:paraId="5BF0525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3F49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color w:val="auto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四、结转下年度继续办理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3088E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0D25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2870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86EB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70C3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AD74F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color w:val="auto"/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color w:val="auto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53F7E0CD">
            <w:pPr>
              <w:rPr>
                <w:rFonts w:hint="eastAsia" w:ascii="宋体"/>
                <w:color w:val="auto"/>
                <w:sz w:val="32"/>
                <w:szCs w:val="32"/>
              </w:rPr>
            </w:pPr>
          </w:p>
        </w:tc>
      </w:tr>
    </w:tbl>
    <w:p w14:paraId="73447500"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i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</w:p>
    <w:p w14:paraId="5E76025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="210" w:leftChars="100" w:right="210" w:rightChars="100" w:firstLine="640" w:firstLineChars="200"/>
        <w:jc w:val="left"/>
        <w:textAlignment w:val="auto"/>
        <w:rPr>
          <w:rFonts w:hint="eastAsia" w:ascii="黑体" w:hAnsi="黑体" w:eastAsia="黑体" w:cs="黑体"/>
          <w:i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四、政府信息公开行政复议、行政诉讼情况</w:t>
      </w:r>
    </w:p>
    <w:p w14:paraId="3B833C0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</w:rPr>
      </w:pPr>
    </w:p>
    <w:tbl>
      <w:tblPr>
        <w:tblStyle w:val="6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1"/>
        <w:gridCol w:w="651"/>
        <w:gridCol w:w="651"/>
        <w:gridCol w:w="651"/>
        <w:gridCol w:w="651"/>
      </w:tblGrid>
      <w:tr w14:paraId="5B9FC03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1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6EAC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行政复议</w:t>
            </w:r>
          </w:p>
        </w:tc>
        <w:tc>
          <w:tcPr>
            <w:tcW w:w="6428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749C2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行政诉讼</w:t>
            </w:r>
          </w:p>
        </w:tc>
      </w:tr>
      <w:tr w14:paraId="22D855A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873D4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结果维持</w:t>
            </w:r>
          </w:p>
        </w:tc>
        <w:tc>
          <w:tcPr>
            <w:tcW w:w="6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23169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  <w:p w14:paraId="363FAB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纠正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6CC6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其他</w:t>
            </w:r>
          </w:p>
          <w:p w14:paraId="51FB12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85D6B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尚未</w:t>
            </w:r>
          </w:p>
          <w:p w14:paraId="02FEAE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审结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4E6A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总计</w:t>
            </w:r>
          </w:p>
        </w:tc>
        <w:tc>
          <w:tcPr>
            <w:tcW w:w="321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EA7F2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未经复议直接起诉</w:t>
            </w:r>
          </w:p>
        </w:tc>
        <w:tc>
          <w:tcPr>
            <w:tcW w:w="321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DB7B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复议后起诉</w:t>
            </w:r>
          </w:p>
        </w:tc>
      </w:tr>
      <w:tr w14:paraId="4BBC04F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776F43">
            <w:pPr>
              <w:rPr>
                <w:rFonts w:hint="eastAsia" w:ascii="宋体"/>
                <w:color w:val="auto"/>
                <w:sz w:val="28"/>
                <w:szCs w:val="28"/>
              </w:rPr>
            </w:pPr>
          </w:p>
        </w:tc>
        <w:tc>
          <w:tcPr>
            <w:tcW w:w="64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4D12C1">
            <w:pPr>
              <w:rPr>
                <w:rFonts w:hint="eastAsia" w:ascii="宋体"/>
                <w:color w:val="auto"/>
                <w:sz w:val="28"/>
                <w:szCs w:val="28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8D2421">
            <w:pPr>
              <w:rPr>
                <w:rFonts w:hint="eastAsia" w:ascii="宋体"/>
                <w:color w:val="auto"/>
                <w:sz w:val="28"/>
                <w:szCs w:val="28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C9960A">
            <w:pPr>
              <w:rPr>
                <w:rFonts w:hint="eastAsia" w:ascii="宋体"/>
                <w:color w:val="auto"/>
                <w:sz w:val="28"/>
                <w:szCs w:val="28"/>
              </w:rPr>
            </w:pPr>
          </w:p>
        </w:tc>
        <w:tc>
          <w:tcPr>
            <w:tcW w:w="64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09B9F7">
            <w:pPr>
              <w:rPr>
                <w:rFonts w:hint="eastAsia" w:ascii="宋体"/>
                <w:color w:val="auto"/>
                <w:sz w:val="28"/>
                <w:szCs w:val="28"/>
              </w:rPr>
            </w:pP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D1E9F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  <w:p w14:paraId="4766974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维持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F1D9E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  <w:p w14:paraId="466B9A3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纠正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B3C5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其他</w:t>
            </w:r>
          </w:p>
          <w:p w14:paraId="19E42B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36EB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尚未</w:t>
            </w:r>
          </w:p>
          <w:p w14:paraId="6B8EA7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审结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DF17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总计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28DC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  <w:p w14:paraId="55EE5EB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维持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976D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  <w:p w14:paraId="7A02FF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纠正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45A9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其他</w:t>
            </w:r>
          </w:p>
          <w:p w14:paraId="7FBA493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3A96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尚未</w:t>
            </w:r>
          </w:p>
          <w:p w14:paraId="53EF11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审结</w:t>
            </w:r>
          </w:p>
        </w:tc>
        <w:tc>
          <w:tcPr>
            <w:tcW w:w="6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0F86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总计</w:t>
            </w:r>
          </w:p>
        </w:tc>
      </w:tr>
      <w:tr w14:paraId="30B4C9D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E04FD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ascii="黑体" w:hAnsi="宋体" w:eastAsia="黑体" w:cs="黑体"/>
                <w:color w:val="auto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25C8B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794C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2F47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1EAC5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DE8A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3EEB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4D464D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2004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8C9B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D0F4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3E06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57C1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416E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color w:val="auto"/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color w:val="auto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0F6E03">
            <w:pPr>
              <w:rPr>
                <w:rFonts w:hint="eastAsia" w:ascii="宋体"/>
                <w:color w:val="auto"/>
                <w:sz w:val="28"/>
                <w:szCs w:val="28"/>
              </w:rPr>
            </w:pPr>
          </w:p>
        </w:tc>
      </w:tr>
    </w:tbl>
    <w:p w14:paraId="17EDAFB9"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color w:val="auto"/>
        </w:rPr>
      </w:pPr>
    </w:p>
    <w:p w14:paraId="275EE275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210" w:leftChars="100" w:right="210" w:rightChars="100" w:firstLine="640" w:firstLineChars="200"/>
        <w:textAlignment w:val="baseline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五、存在的主要问题及改进情况</w:t>
      </w:r>
    </w:p>
    <w:p w14:paraId="0DBF8D0B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210" w:leftChars="100" w:right="210" w:rightChars="100" w:firstLine="640" w:firstLineChars="200"/>
        <w:textAlignment w:val="baseline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（一）存在的主要问题</w:t>
      </w:r>
    </w:p>
    <w:p w14:paraId="51420659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210" w:leftChars="100" w:right="210" w:rightChars="100" w:firstLine="640" w:firstLineChars="200"/>
        <w:textAlignment w:val="baseline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1.公开的信息数量与公众的需求量还存在一定的差距。</w:t>
      </w:r>
    </w:p>
    <w:p w14:paraId="06093FFB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210" w:leftChars="100" w:right="210" w:rightChars="100" w:firstLine="626" w:firstLineChars="200"/>
        <w:textAlignment w:val="baseline"/>
        <w:rPr>
          <w:rFonts w:hint="eastAsia" w:ascii="仿宋" w:hAnsi="仿宋" w:eastAsia="仿宋" w:cs="仿宋"/>
          <w:color w:val="auto"/>
          <w:w w:val="98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w w:val="98"/>
          <w:sz w:val="32"/>
          <w:szCs w:val="32"/>
          <w:lang w:val="en-US" w:eastAsia="zh-CN"/>
        </w:rPr>
        <w:t>2.公开的信息质量还有待提高，大多为引用或转发上级内</w:t>
      </w:r>
    </w:p>
    <w:p w14:paraId="77992E9C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210" w:rightChars="100" w:firstLine="313" w:firstLineChars="100"/>
        <w:textAlignment w:val="baseline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w w:val="98"/>
          <w:sz w:val="32"/>
          <w:szCs w:val="32"/>
          <w:lang w:val="en-US" w:eastAsia="zh-CN"/>
        </w:rPr>
        <w:t>容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，原创信息不多。</w:t>
      </w:r>
    </w:p>
    <w:p w14:paraId="5ED6836F">
      <w:pPr>
        <w:keepNext w:val="0"/>
        <w:keepLines w:val="0"/>
        <w:pageBreakBefore w:val="0"/>
        <w:widowControl w:val="0"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210" w:leftChars="100" w:right="210" w:rightChars="100" w:firstLine="640" w:firstLineChars="200"/>
        <w:textAlignment w:val="baseline"/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auto"/>
          <w:kern w:val="2"/>
          <w:sz w:val="32"/>
          <w:szCs w:val="32"/>
          <w:lang w:val="en-US" w:eastAsia="zh-CN" w:bidi="ar-SA"/>
        </w:rPr>
        <w:t>（二）</w:t>
      </w:r>
      <w:r>
        <w:rPr>
          <w:rFonts w:hint="eastAsia" w:ascii="楷体" w:hAnsi="楷体" w:eastAsia="楷体" w:cs="楷体"/>
          <w:color w:val="auto"/>
          <w:sz w:val="32"/>
          <w:szCs w:val="32"/>
          <w:lang w:val="en-US" w:eastAsia="zh-CN"/>
        </w:rPr>
        <w:t>改进情况：</w:t>
      </w:r>
    </w:p>
    <w:p w14:paraId="04B80318">
      <w:pPr>
        <w:keepNext w:val="0"/>
        <w:keepLines w:val="0"/>
        <w:pageBreakBefore w:val="0"/>
        <w:widowControl w:val="0"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210" w:leftChars="100" w:right="210" w:rightChars="100" w:firstLine="643" w:firstLineChars="200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40"/>
          <w:lang w:val="en-US" w:eastAsia="zh-CN"/>
        </w:rPr>
        <w:t>1.丰富公开内容。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40"/>
          <w:lang w:val="en-US" w:eastAsia="zh-CN" w:bidi="ar-SA"/>
        </w:rPr>
        <w:t>围绕社会广泛关注、事关群众切身利益的重大事项加大主动公开力度，打造精品原创，着力打造乡宁普法宣传品牌。</w:t>
      </w:r>
    </w:p>
    <w:p w14:paraId="781FD62D">
      <w:pPr>
        <w:pStyle w:val="2"/>
        <w:keepNext w:val="0"/>
        <w:keepLines w:val="0"/>
        <w:pageBreakBefore w:val="0"/>
        <w:widowControl w:val="0"/>
        <w:wordWrap/>
        <w:overflowPunct/>
        <w:topLinePunct w:val="0"/>
        <w:bidi w:val="0"/>
        <w:ind w:left="210" w:leftChars="100" w:right="210" w:rightChars="100" w:firstLine="643" w:firstLineChars="200"/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40"/>
          <w:lang w:val="en-US" w:eastAsia="zh-CN" w:bidi="ar-SA"/>
        </w:rPr>
        <w:t>2.拓展公开渠道。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>持续加大司法行政工作信息公开力度，用好“乡宁普法”微信公众号，第一时间公布工作动态和便民信息，为群众获取司法行政信息提供便利窗口。</w:t>
      </w:r>
    </w:p>
    <w:p w14:paraId="2695F1A0">
      <w:pPr>
        <w:pStyle w:val="2"/>
        <w:keepNext w:val="0"/>
        <w:keepLines w:val="0"/>
        <w:pageBreakBefore w:val="0"/>
        <w:widowControl w:val="0"/>
        <w:wordWrap/>
        <w:overflowPunct/>
        <w:topLinePunct w:val="0"/>
        <w:bidi w:val="0"/>
        <w:ind w:left="210" w:leftChars="100" w:right="210" w:rightChars="100" w:firstLine="643" w:firstLineChars="200"/>
        <w:rPr>
          <w:rFonts w:hint="default" w:ascii="仿宋_GB2312" w:hAnsi="仿宋_GB2312" w:eastAsia="仿宋_GB2312" w:cs="仿宋_GB2312"/>
          <w:color w:val="auto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40"/>
          <w:lang w:val="en-US" w:eastAsia="zh-CN" w:bidi="ar-SA"/>
        </w:rPr>
        <w:t>3.提升公开质量。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>严格执行信息发布保密审查制度，对发布的信息严格审核把关，落实“三审三校”，确保信息公开信息真实、准确。</w:t>
      </w:r>
    </w:p>
    <w:p w14:paraId="33FC7826">
      <w:pPr>
        <w:keepNext w:val="0"/>
        <w:keepLines w:val="0"/>
        <w:pageBreakBefore w:val="0"/>
        <w:widowControl w:val="0"/>
        <w:suppressLineNumbers w:val="0"/>
        <w:wordWrap/>
        <w:overflowPunct/>
        <w:topLinePunct w:val="0"/>
        <w:bidi w:val="0"/>
        <w:ind w:left="210" w:leftChars="100" w:right="210" w:rightChars="100" w:firstLine="640" w:firstLineChars="200"/>
        <w:jc w:val="left"/>
        <w:rPr>
          <w:rFonts w:hint="eastAsia" w:ascii="黑体" w:hAnsi="黑体" w:eastAsia="黑体" w:cs="黑体"/>
          <w:i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六、其他需要报告的事项</w:t>
      </w:r>
    </w:p>
    <w:p w14:paraId="450912EF">
      <w:pPr>
        <w:pStyle w:val="2"/>
        <w:keepNext w:val="0"/>
        <w:keepLines w:val="0"/>
        <w:pageBreakBefore w:val="0"/>
        <w:widowControl w:val="0"/>
        <w:wordWrap/>
        <w:overflowPunct/>
        <w:topLinePunct w:val="0"/>
        <w:bidi w:val="0"/>
        <w:ind w:left="210" w:leftChars="100" w:right="210" w:rightChars="100"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>本年度未收取政府信息公开信息处理费。</w:t>
      </w:r>
    </w:p>
    <w:p w14:paraId="176C3B0A">
      <w:pPr>
        <w:pStyle w:val="2"/>
        <w:keepNext w:val="0"/>
        <w:keepLines w:val="0"/>
        <w:pageBreakBefore w:val="0"/>
        <w:widowControl w:val="0"/>
        <w:wordWrap/>
        <w:overflowPunct/>
        <w:topLinePunct w:val="0"/>
        <w:bidi w:val="0"/>
        <w:ind w:left="210" w:leftChars="100" w:right="210" w:rightChars="100"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</w:pPr>
    </w:p>
    <w:p w14:paraId="208608D0">
      <w:pPr>
        <w:pStyle w:val="2"/>
        <w:keepNext w:val="0"/>
        <w:keepLines w:val="0"/>
        <w:pageBreakBefore w:val="0"/>
        <w:widowControl w:val="0"/>
        <w:wordWrap/>
        <w:overflowPunct/>
        <w:topLinePunct w:val="0"/>
        <w:bidi w:val="0"/>
        <w:ind w:left="210" w:leftChars="100" w:right="210" w:rightChars="100"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 xml:space="preserve">                              乡宁县司法局</w:t>
      </w:r>
    </w:p>
    <w:p w14:paraId="213BB3A1">
      <w:pPr>
        <w:pStyle w:val="2"/>
        <w:keepNext w:val="0"/>
        <w:keepLines w:val="0"/>
        <w:pageBreakBefore w:val="0"/>
        <w:widowControl w:val="0"/>
        <w:wordWrap/>
        <w:overflowPunct/>
        <w:topLinePunct w:val="0"/>
        <w:bidi w:val="0"/>
        <w:ind w:left="210" w:leftChars="100" w:right="210" w:rightChars="100" w:firstLine="640" w:firstLineChars="200"/>
        <w:rPr>
          <w:rFonts w:hint="default" w:ascii="仿宋_GB2312" w:hAnsi="仿宋_GB2312" w:eastAsia="仿宋_GB2312" w:cs="仿宋_GB2312"/>
          <w:color w:val="auto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 xml:space="preserve">                                2025年1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  <w:t>月24日</w:t>
      </w:r>
    </w:p>
    <w:sectPr>
      <w:footerReference r:id="rId3" w:type="default"/>
      <w:pgSz w:w="11906" w:h="16838"/>
      <w:pgMar w:top="1701" w:right="1531" w:bottom="1417" w:left="1531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9FD9D9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0406B1">
                          <w:pPr>
                            <w:pStyle w:val="3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20406B1">
                    <w:pPr>
                      <w:pStyle w:val="3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kMjk1OWRjNjM1OWUwYWViYzk3YWEwYzQ1YWE0MTcifQ=="/>
  </w:docVars>
  <w:rsids>
    <w:rsidRoot w:val="327E55C5"/>
    <w:rsid w:val="01D10FB3"/>
    <w:rsid w:val="0ADC7FA0"/>
    <w:rsid w:val="0B78391C"/>
    <w:rsid w:val="0CAA641B"/>
    <w:rsid w:val="174161C5"/>
    <w:rsid w:val="181941DA"/>
    <w:rsid w:val="18CE563B"/>
    <w:rsid w:val="1FDB3483"/>
    <w:rsid w:val="263059BA"/>
    <w:rsid w:val="28CD5F1A"/>
    <w:rsid w:val="290D0973"/>
    <w:rsid w:val="2D223969"/>
    <w:rsid w:val="2EB37960"/>
    <w:rsid w:val="327E55C5"/>
    <w:rsid w:val="37681B3D"/>
    <w:rsid w:val="401B5ECF"/>
    <w:rsid w:val="53A154D9"/>
    <w:rsid w:val="5A8E3080"/>
    <w:rsid w:val="5C4C3FAF"/>
    <w:rsid w:val="5C5D116D"/>
    <w:rsid w:val="5DDC2F19"/>
    <w:rsid w:val="62663AEF"/>
    <w:rsid w:val="6A232B24"/>
    <w:rsid w:val="746907BD"/>
    <w:rsid w:val="77D6702C"/>
    <w:rsid w:val="7A3F1955"/>
    <w:rsid w:val="7E745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FollowedHyperlink"/>
    <w:basedOn w:val="7"/>
    <w:qFormat/>
    <w:uiPriority w:val="0"/>
    <w:rPr>
      <w:rFonts w:ascii="微软雅黑" w:hAnsi="微软雅黑" w:eastAsia="微软雅黑" w:cs="微软雅黑"/>
      <w:color w:val="222222"/>
      <w:u w:val="none"/>
    </w:rPr>
  </w:style>
  <w:style w:type="character" w:styleId="9">
    <w:name w:val="Emphasis"/>
    <w:basedOn w:val="7"/>
    <w:qFormat/>
    <w:uiPriority w:val="0"/>
  </w:style>
  <w:style w:type="character" w:styleId="10">
    <w:name w:val="Hyperlink"/>
    <w:basedOn w:val="7"/>
    <w:qFormat/>
    <w:uiPriority w:val="0"/>
    <w:rPr>
      <w:rFonts w:hint="eastAsia" w:ascii="微软雅黑" w:hAnsi="微软雅黑" w:eastAsia="微软雅黑" w:cs="微软雅黑"/>
      <w:color w:val="222222"/>
      <w:u w:val="none"/>
    </w:rPr>
  </w:style>
  <w:style w:type="character" w:styleId="11">
    <w:name w:val="HTML Code"/>
    <w:basedOn w:val="7"/>
    <w:qFormat/>
    <w:uiPriority w:val="0"/>
    <w:rPr>
      <w:rFonts w:ascii="Courier New" w:hAnsi="Courier New"/>
      <w:sz w:val="20"/>
    </w:rPr>
  </w:style>
  <w:style w:type="character" w:customStyle="1" w:styleId="12">
    <w:name w:val="copy_logo_4"/>
    <w:basedOn w:val="7"/>
    <w:qFormat/>
    <w:uiPriority w:val="0"/>
  </w:style>
  <w:style w:type="character" w:customStyle="1" w:styleId="13">
    <w:name w:val="zwxxgk_bnt5"/>
    <w:basedOn w:val="7"/>
    <w:qFormat/>
    <w:uiPriority w:val="0"/>
  </w:style>
  <w:style w:type="character" w:customStyle="1" w:styleId="14">
    <w:name w:val="zwxxgk_bnt51"/>
    <w:basedOn w:val="7"/>
    <w:qFormat/>
    <w:uiPriority w:val="0"/>
  </w:style>
  <w:style w:type="character" w:customStyle="1" w:styleId="15">
    <w:name w:val="zwxxgk_bnt52"/>
    <w:basedOn w:val="7"/>
    <w:qFormat/>
    <w:uiPriority w:val="0"/>
  </w:style>
  <w:style w:type="character" w:customStyle="1" w:styleId="16">
    <w:name w:val="zwxxgk_bnt6"/>
    <w:basedOn w:val="7"/>
    <w:qFormat/>
    <w:uiPriority w:val="0"/>
  </w:style>
  <w:style w:type="character" w:customStyle="1" w:styleId="17">
    <w:name w:val="zwxxgk_bnt61"/>
    <w:basedOn w:val="7"/>
    <w:qFormat/>
    <w:uiPriority w:val="0"/>
  </w:style>
  <w:style w:type="character" w:customStyle="1" w:styleId="18">
    <w:name w:val="zwxxgk_bnt62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1155</Words>
  <Characters>1197</Characters>
  <Lines>0</Lines>
  <Paragraphs>0</Paragraphs>
  <TotalTime>24</TotalTime>
  <ScaleCrop>false</ScaleCrop>
  <LinksUpToDate>false</LinksUpToDate>
  <CharactersWithSpaces>1216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2022-01-16T08:47:00Z</dcterms:created>
  <dc:creator>JWH</dc:creator>
  <cp:lastModifiedBy>什么情况啊？</cp:lastModifiedBy>
  <cp:lastPrinted>2025-02-24T10:01:00Z</cp:lastPrinted>
  <dcterms:modified xsi:type="dcterms:W3CDTF">2025-02-26T02:09:29Z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3C1FE28C26B84C80888742B91999BE9B_13</vt:lpwstr>
  </property>
  <property fmtid="{D5CDD505-2E9C-101B-9397-08002B2CF9AE}" pid="4" name="KSOTemplateDocerSaveRecord">
    <vt:lpwstr>eyJoZGlkIjoiZTZjMzllMmRmZjhmYTczNGU2MzQ4M2Y1YjdjYjUxOGMiLCJ1c2VySWQiOiIyNDQ2Nzk1MjkifQ==</vt:lpwstr>
  </property>
</Properties>
</file>