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3"/>
        <w:rPr>
          <w:rFonts w:hint="eastAsia"/>
          <w:lang w:eastAsia="zh-C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lang w:eastAsia="zh-CN"/>
        </w:rPr>
      </w:pP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eastAsia="zh-CN"/>
        </w:rPr>
      </w:pPr>
      <w:bookmarkStart w:id="0" w:name="_GoBack"/>
    </w:p>
    <w:bookmarkEnd w:id="0"/>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13</w:t>
      </w:r>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0" w:beforeAutospacing="0" w:after="300" w:afterAutospacing="0" w:line="620" w:lineRule="exact"/>
        <w:ind w:left="0" w:right="0" w:firstLine="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乡宁</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县乡村e镇数据</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采集监测</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管理制度</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jc w:val="center"/>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 xml:space="preserve">第一章 </w:t>
      </w:r>
      <w:r>
        <w:rPr>
          <w:rFonts w:hint="eastAsia" w:ascii="黑体" w:hAnsi="黑体" w:eastAsia="黑体" w:cs="黑体"/>
          <w:sz w:val="32"/>
          <w:szCs w:val="32"/>
        </w:rPr>
        <w:t>总则</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为进一步加</w:t>
      </w:r>
      <w:r>
        <w:rPr>
          <w:rFonts w:hint="eastAsia" w:ascii="仿宋_GB2312" w:hAnsi="仿宋_GB2312" w:eastAsia="仿宋_GB2312" w:cs="仿宋_GB2312"/>
          <w:sz w:val="32"/>
          <w:szCs w:val="32"/>
          <w:lang w:val="en-US" w:eastAsia="zh-CN"/>
        </w:rPr>
        <w:t>强大</w:t>
      </w:r>
      <w:r>
        <w:rPr>
          <w:rFonts w:hint="eastAsia" w:ascii="仿宋_GB2312" w:hAnsi="仿宋_GB2312" w:eastAsia="仿宋_GB2312" w:cs="仿宋_GB2312"/>
          <w:sz w:val="32"/>
          <w:szCs w:val="32"/>
        </w:rPr>
        <w:t>数据</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汇聚融合的力度，保障大数据安全有序的为转型发展注智赋能，全面规范大数据</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的数据采集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rPr>
        <w:t>工作，理顺协作流程，明确各方职责，特制定本办法。</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本办法适用于</w:t>
      </w:r>
      <w:r>
        <w:rPr>
          <w:rFonts w:hint="eastAsia" w:ascii="仿宋_GB2312" w:hAnsi="仿宋_GB2312" w:eastAsia="仿宋_GB2312" w:cs="仿宋_GB2312"/>
          <w:sz w:val="32"/>
          <w:szCs w:val="32"/>
          <w:lang w:val="en-US" w:eastAsia="zh-CN"/>
        </w:rPr>
        <w:t>乡宁县乡村e镇公服中心</w:t>
      </w:r>
      <w:r>
        <w:rPr>
          <w:rFonts w:hint="eastAsia" w:ascii="仿宋_GB2312" w:hAnsi="仿宋_GB2312" w:eastAsia="仿宋_GB2312" w:cs="仿宋_GB2312"/>
          <w:sz w:val="32"/>
          <w:szCs w:val="32"/>
        </w:rPr>
        <w:t>，参照本办法开展大数据采集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rPr>
        <w:t>管理制度。</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第三条 本办法涉及的大数据采集工作涵盖数据采集接入和数据接口治理，保障数据资源汇聚的全面性、及时性、</w:t>
      </w:r>
      <w:r>
        <w:rPr>
          <w:rFonts w:hint="eastAsia" w:ascii="仿宋_GB2312" w:hAnsi="仿宋_GB2312" w:eastAsia="仿宋_GB2312" w:cs="仿宋_GB2312"/>
          <w:sz w:val="32"/>
          <w:szCs w:val="32"/>
          <w:lang w:val="en-US" w:eastAsia="zh-CN"/>
        </w:rPr>
        <w:t>准确性</w:t>
      </w:r>
      <w:r>
        <w:rPr>
          <w:rFonts w:hint="eastAsia" w:ascii="仿宋_GB2312" w:hAnsi="仿宋_GB2312" w:eastAsia="仿宋_GB2312" w:cs="仿宋_GB2312"/>
          <w:sz w:val="32"/>
          <w:szCs w:val="32"/>
        </w:rPr>
        <w:t>以及数据接口的可用性</w:t>
      </w:r>
      <w:r>
        <w:rPr>
          <w:rFonts w:hint="eastAsia" w:ascii="仿宋_GB2312" w:hAnsi="仿宋_GB2312" w:eastAsia="仿宋_GB2312" w:cs="仿宋_GB2312"/>
          <w:sz w:val="32"/>
          <w:szCs w:val="32"/>
          <w:lang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(一)数据采集接入是指全网业务支撑域系统、网络域系统、管理信息域系统、业务平台域系统数据和外部数据资源接入大数据中心，实现业务数据化</w:t>
      </w:r>
      <w:r>
        <w:rPr>
          <w:rFonts w:hint="eastAsia" w:ascii="仿宋_GB2312" w:hAnsi="仿宋_GB2312" w:eastAsia="仿宋_GB2312" w:cs="仿宋_GB2312"/>
          <w:sz w:val="32"/>
          <w:szCs w:val="32"/>
          <w:lang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数据接口治理是指对接入大数据中心的数据接口进行战略规划、规范制定、监管定责等治理工作，指导包括规划数据接口架构，制定数据接口标准，管控数据接口质量、数据接口安全、数据接口使用及数据接口生命周期等一系列数据接口管理活动，实现接口数据资产的控制、保护和交付并提高数据资产价值。</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数据监测内容主要包括：销售数据监测、生产数据监测、库存数据监测等。</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大数据采集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rPr>
        <w:t>工作应遵循以下原则:</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(一)安全合规原则:应符合现行法律、行政法规、政府规范性文件及公司规章制度的规定。大数据采集工作涉及的各方应具备安全能力，并符合</w:t>
      </w:r>
      <w:r>
        <w:rPr>
          <w:rFonts w:hint="eastAsia" w:ascii="仿宋_GB2312" w:hAnsi="仿宋_GB2312" w:eastAsia="仿宋_GB2312" w:cs="仿宋_GB2312"/>
          <w:sz w:val="32"/>
          <w:szCs w:val="32"/>
          <w:lang w:val="en-US" w:eastAsia="zh-CN"/>
        </w:rPr>
        <w:t>中心</w:t>
      </w:r>
      <w:r>
        <w:rPr>
          <w:rFonts w:hint="eastAsia" w:ascii="仿宋_GB2312" w:hAnsi="仿宋_GB2312" w:eastAsia="仿宋_GB2312" w:cs="仿宋_GB2312"/>
          <w:sz w:val="32"/>
          <w:szCs w:val="32"/>
        </w:rPr>
        <w:t>《数据安全管理制度》、大数据安全保障体系的规范制度等安全管理及法律管理相关要求，承担相应的安全和法务责任，保护数据资产和防范法律风险</w:t>
      </w:r>
      <w:r>
        <w:rPr>
          <w:rFonts w:hint="eastAsia" w:ascii="仿宋_GB2312" w:hAnsi="仿宋_GB2312" w:eastAsia="仿宋_GB2312" w:cs="仿宋_GB2312"/>
          <w:sz w:val="32"/>
          <w:szCs w:val="32"/>
          <w:lang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(二)“三同步”原则: 各系统与大数据平台“同步规划同步建设、同步维护”，即源系统规划期同步规划制定数据接入规范方案，系统建设期同步完成系统改造及数据接口对接上线，系统运维期同步开展数据接口维护更新，并保障数据运维质量</w:t>
      </w:r>
      <w:r>
        <w:rPr>
          <w:rFonts w:hint="eastAsia" w:ascii="仿宋_GB2312" w:hAnsi="仿宋_GB2312" w:eastAsia="仿宋_GB2312" w:cs="仿宋_GB2312"/>
          <w:sz w:val="32"/>
          <w:szCs w:val="32"/>
          <w:lang w:eastAsia="zh-CN"/>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(三)应接尽接原则: 大数据中心管理系统分数据及外部数据都纳入大数据采集范围，大数据场景所需数据应全量接入大数据中心，不得私藏 (隐匿)、少传、修改数据。</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第五条 大数据中心作为全网大数据发展规划、建设的职能管理机构，负责统筹全网各域数据、外部数据的统一接入整合及跨域数据的治理工作，开展相关检查、监督及通报，并按照全网安全制度，落实大数据安全策略、专业公司、直属单位及总部相关单位作为全网大数据发展规划、建设的参与机构，按照大数据采集管理要求，落实全网各域数据采集、接口治理，工作，并依照全网数据安全管理办法和风险合规管理要求实施数据安全管控、法律风险防范及应急管理。</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数据采集</w:t>
      </w:r>
      <w:r>
        <w:rPr>
          <w:rFonts w:hint="eastAsia" w:ascii="黑体" w:hAnsi="黑体" w:eastAsia="黑体" w:cs="黑体"/>
          <w:sz w:val="32"/>
          <w:szCs w:val="32"/>
          <w:lang w:val="en-US" w:eastAsia="zh-CN"/>
        </w:rPr>
        <w:t>监测</w:t>
      </w:r>
      <w:r>
        <w:rPr>
          <w:rFonts w:hint="eastAsia" w:ascii="黑体" w:hAnsi="黑体" w:eastAsia="黑体" w:cs="黑体"/>
          <w:sz w:val="32"/>
          <w:szCs w:val="32"/>
          <w:lang w:eastAsia="zh-CN"/>
        </w:rPr>
        <w:t>接入</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第七条 大数据中心负责全网数据的统一采集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接入，主要职责为:</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(一)归口数据接入需求，根据数据接入需求和业务规划牵头全网数据采集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规划。</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(二)统筹数据接入管理，对数据接入范围、接入内容、接入能力、</w:t>
      </w:r>
      <w:r>
        <w:rPr>
          <w:rFonts w:hint="eastAsia" w:ascii="仿宋_GB2312" w:hAnsi="仿宋_GB2312" w:eastAsia="仿宋_GB2312" w:cs="仿宋_GB2312"/>
          <w:sz w:val="32"/>
          <w:szCs w:val="32"/>
          <w:lang w:val="en-US" w:eastAsia="zh-CN"/>
        </w:rPr>
        <w:t>接入监测、</w:t>
      </w:r>
      <w:r>
        <w:rPr>
          <w:rFonts w:hint="eastAsia" w:ascii="仿宋_GB2312" w:hAnsi="仿宋_GB2312" w:eastAsia="仿宋_GB2312" w:cs="仿宋_GB2312"/>
          <w:sz w:val="32"/>
          <w:szCs w:val="32"/>
          <w:lang w:eastAsia="zh-CN"/>
        </w:rPr>
        <w:t>数据传输和数据资产管理等方面进行统一规范牵头制定和维护数据接入</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过程中的相关要求、流程、标准、规范、方案等;</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(三)制定数据接入</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计划，确认数据接入需求及明确接入时间要求，并根据接入计划，管控数据接入实施过程，制定数据采集</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实施方案、验收标准，推动数据接入</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实施进展；</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(四)规范数据接口保障流程，明确接口保障要求和数据资产管理要求，监管接口数据质量。</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(五)督促和推动数据接入、接口优化、问题整改及效果评估，并进行考核通报。</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（六)对大数据中心平台上所采集及衍生数据的全生命周期安全管理、安全运营及安全技术防护。</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第八条 落实数据接入</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的规划建设、开发实施、接口运维等相关工作，主要职责为：</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(一)保障数据“三同步”举措，在源系统规划期、建设期、上线运行期配合大数据中心完成“三同步”工作；</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(二)保障数据接入</w:t>
      </w:r>
      <w:r>
        <w:rPr>
          <w:rFonts w:hint="eastAsia" w:ascii="仿宋_GB2312" w:hAnsi="仿宋_GB2312" w:eastAsia="仿宋_GB2312" w:cs="仿宋_GB2312"/>
          <w:sz w:val="32"/>
          <w:szCs w:val="32"/>
          <w:lang w:val="en-US" w:eastAsia="zh-CN"/>
        </w:rPr>
        <w:t>监测</w:t>
      </w:r>
      <w:r>
        <w:rPr>
          <w:rFonts w:hint="eastAsia" w:ascii="仿宋_GB2312" w:hAnsi="仿宋_GB2312" w:eastAsia="仿宋_GB2312" w:cs="仿宋_GB2312"/>
          <w:sz w:val="32"/>
          <w:szCs w:val="32"/>
          <w:lang w:eastAsia="zh-CN"/>
        </w:rPr>
        <w:t>需求响应及时性，满足大数据中心的数据接入要求，并依据大数据中心制定的接口规范和采集方案按时完成数据提供，不得隐匿、少传或私自修改接口数据；</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(三)采取必要的维护措施和投入必要的维护资源，保障数据接口运行的完整性、准确性、一致性、及时性、安全性；</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(四)及时响应并解决数据质量、数据口径相关问题以及接口优化需求，保障数据接口与业务发展、系统升级同步持续提升接口数据有效性，促进数据价值的发挥。</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(五)保障源系统数据提供能力，并提供源系统相关规划规范、数据资产、应用场景等相关文档和业务技术培训。</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center"/>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数据接口治理</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第九条 大数据中心牵头制定全网大数据接口治理框架以及相关规范制度，规划接口治理体系的建设，实现全网各域数据资产管控，同时构建全生命周期的数据接口治理闭环管理，推动数据资产化。</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第十条 数据接口治理活动由大数据中心牵头，数据提供方 (各源系统所属单位)、数据使用方 (大数据开放服务的使用单位)共同参与。各方按照数据接口治理相关规范制度要求，落实数据接口治理体系建设，常态化的开展数据接口治理工作。</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第十一条 大数据中心对各单位的数据接口治理工作进行评估，制定评价体系，监督、考核通报数据接口治理工作进展情况和效果。</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第四章 附则</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第十二条 本办法自印发之日起施行。本办法由乡宁县乡村</w:t>
      </w:r>
      <w:r>
        <w:rPr>
          <w:rFonts w:hint="eastAsia"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eastAsia="zh-CN"/>
        </w:rPr>
        <w:t>镇工作领导</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lang w:eastAsia="zh-CN"/>
        </w:rPr>
        <w:t>组办公室</w:t>
      </w:r>
      <w:r>
        <w:rPr>
          <w:rFonts w:hint="eastAsia" w:ascii="仿宋_GB2312" w:hAnsi="仿宋_GB2312" w:eastAsia="仿宋_GB2312" w:cs="仿宋_GB2312"/>
          <w:sz w:val="32"/>
          <w:szCs w:val="32"/>
          <w:lang w:val="en-US" w:eastAsia="zh-CN"/>
        </w:rPr>
        <w:t>负责</w:t>
      </w:r>
      <w:r>
        <w:rPr>
          <w:rFonts w:hint="eastAsia" w:ascii="仿宋_GB2312" w:hAnsi="仿宋_GB2312" w:eastAsia="仿宋_GB2312" w:cs="仿宋_GB2312"/>
          <w:sz w:val="32"/>
          <w:szCs w:val="32"/>
          <w:lang w:eastAsia="zh-CN"/>
        </w:rPr>
        <w:t>解释。</w:t>
      </w: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kinsoku/>
        <w:wordWrap/>
        <w:overflowPunct/>
        <w:topLinePunct w:val="0"/>
        <w:autoSpaceDE/>
        <w:autoSpaceDN/>
        <w:bidi w:val="0"/>
        <w:adjustRightInd/>
        <w:snapToGrid/>
        <w:spacing w:line="620" w:lineRule="exact"/>
        <w:ind w:firstLine="1920" w:firstLineChars="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 </w:t>
      </w:r>
      <w:r>
        <w:rPr>
          <w:rFonts w:hint="eastAsia" w:ascii="仿宋_GB2312" w:hAnsi="仿宋_GB2312" w:eastAsia="仿宋_GB2312" w:cs="仿宋_GB2312"/>
          <w:sz w:val="32"/>
          <w:szCs w:val="32"/>
          <w:lang w:eastAsia="zh-CN"/>
        </w:rPr>
        <w:t>乡宁县乡村</w:t>
      </w:r>
      <w:r>
        <w:rPr>
          <w:rFonts w:hint="eastAsia"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eastAsia="zh-CN"/>
        </w:rPr>
        <w:t>镇工作领导</w:t>
      </w:r>
      <w:r>
        <w:rPr>
          <w:rFonts w:hint="eastAsia" w:ascii="仿宋_GB2312" w:hAnsi="仿宋_GB2312" w:eastAsia="仿宋_GB2312" w:cs="仿宋_GB2312"/>
          <w:sz w:val="32"/>
          <w:szCs w:val="32"/>
          <w:lang w:val="en-US" w:eastAsia="zh-CN"/>
        </w:rPr>
        <w:t>小</w:t>
      </w:r>
      <w:r>
        <w:rPr>
          <w:rFonts w:hint="eastAsia" w:ascii="仿宋_GB2312" w:hAnsi="仿宋_GB2312" w:eastAsia="仿宋_GB2312" w:cs="仿宋_GB2312"/>
          <w:sz w:val="32"/>
          <w:szCs w:val="32"/>
          <w:lang w:eastAsia="zh-CN"/>
        </w:rPr>
        <w:t>组办公室(</w:t>
      </w:r>
      <w:r>
        <w:rPr>
          <w:rFonts w:hint="eastAsia" w:ascii="仿宋_GB2312" w:hAnsi="仿宋_GB2312" w:eastAsia="仿宋_GB2312" w:cs="仿宋_GB2312"/>
          <w:sz w:val="32"/>
          <w:szCs w:val="32"/>
          <w:lang w:val="en-US" w:eastAsia="zh-CN"/>
        </w:rPr>
        <w:t>代</w:t>
      </w:r>
      <w:r>
        <w:rPr>
          <w:rFonts w:hint="eastAsia" w:ascii="仿宋_GB2312" w:hAnsi="仿宋_GB2312" w:eastAsia="仿宋_GB2312" w:cs="仿宋_GB2312"/>
          <w:sz w:val="32"/>
          <w:szCs w:val="32"/>
          <w:lang w:eastAsia="zh-CN"/>
        </w:rPr>
        <w:t>章)</w:t>
      </w:r>
    </w:p>
    <w:p>
      <w:pPr>
        <w:keepNext w:val="0"/>
        <w:keepLines w:val="0"/>
        <w:pageBreakBefore w:val="0"/>
        <w:widowControl/>
        <w:kinsoku/>
        <w:wordWrap/>
        <w:overflowPunct/>
        <w:topLinePunct w:val="0"/>
        <w:autoSpaceDE/>
        <w:autoSpaceDN/>
        <w:bidi w:val="0"/>
        <w:adjustRightInd/>
        <w:snapToGrid/>
        <w:spacing w:line="620" w:lineRule="exact"/>
        <w:ind w:firstLine="3840" w:firstLineChars="1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日</w:t>
      </w:r>
    </w:p>
    <w:sectPr>
      <w:footerReference r:id="rId5" w:type="first"/>
      <w:headerReference r:id="rId3" w:type="default"/>
      <w:footerReference r:id="rId4" w:type="default"/>
      <w:pgSz w:w="11906" w:h="16838"/>
      <w:pgMar w:top="1701" w:right="1587" w:bottom="1417" w:left="1587" w:header="851" w:footer="992" w:gutter="0"/>
      <w:pgNumType w:fmt="decimal"/>
      <w:cols w:space="425" w:num="1"/>
      <w:titlePg/>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p>
    <w:pPr>
      <w:pStyle w:val="7"/>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p>
    <w:pPr>
      <w:pStyle w:val="7"/>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jYWQyNWNkMTQ0NTI2NWQzNmIwYzczNGI0NmFhMTkifQ=="/>
  </w:docVars>
  <w:rsids>
    <w:rsidRoot w:val="00000000"/>
    <w:rsid w:val="021C29C7"/>
    <w:rsid w:val="058A40EC"/>
    <w:rsid w:val="060043AE"/>
    <w:rsid w:val="0CE95B9C"/>
    <w:rsid w:val="0F6A0FCF"/>
    <w:rsid w:val="1032785A"/>
    <w:rsid w:val="17C136CA"/>
    <w:rsid w:val="1CF540E9"/>
    <w:rsid w:val="1FA463BC"/>
    <w:rsid w:val="22A719E1"/>
    <w:rsid w:val="27862DD6"/>
    <w:rsid w:val="282910EA"/>
    <w:rsid w:val="290556B4"/>
    <w:rsid w:val="2BDA2E28"/>
    <w:rsid w:val="2F3E36CD"/>
    <w:rsid w:val="327A2C6E"/>
    <w:rsid w:val="3E594080"/>
    <w:rsid w:val="3F274469"/>
    <w:rsid w:val="42C817D4"/>
    <w:rsid w:val="4A0550BC"/>
    <w:rsid w:val="4B221C9D"/>
    <w:rsid w:val="4B3D2633"/>
    <w:rsid w:val="4EA97E86"/>
    <w:rsid w:val="58DC478D"/>
    <w:rsid w:val="5A062F3F"/>
    <w:rsid w:val="5C6D71E9"/>
    <w:rsid w:val="6787315C"/>
    <w:rsid w:val="68AD1C5A"/>
    <w:rsid w:val="74C46742"/>
    <w:rsid w:val="78061E7B"/>
    <w:rsid w:val="7A28432B"/>
    <w:rsid w:val="7C541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Arial" w:hAnsi="Arial" w:eastAsia="Arial" w:cs="Arial"/>
      <w:snapToGrid w:val="0"/>
      <w:color w:val="000000"/>
      <w:kern w:val="0"/>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qFormat/>
    <w:uiPriority w:val="99"/>
    <w:pPr>
      <w:spacing w:line="360" w:lineRule="auto"/>
      <w:ind w:firstLine="480" w:firstLineChars="150"/>
      <w:outlineLvl w:val="1"/>
    </w:pPr>
    <w:rPr>
      <w:rFonts w:ascii="宋体" w:hAnsi="宋体" w:eastAsia="楷体"/>
      <w:b/>
      <w:sz w:val="32"/>
      <w:szCs w:val="36"/>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autoRedefine/>
    <w:semiHidden/>
    <w:unhideWhenUsed/>
    <w:qFormat/>
    <w:uiPriority w:val="99"/>
    <w:pPr>
      <w:spacing w:after="120"/>
    </w:pPr>
  </w:style>
  <w:style w:type="paragraph" w:styleId="6">
    <w:name w:val="Body Text Indent"/>
    <w:basedOn w:val="1"/>
    <w:autoRedefine/>
    <w:qFormat/>
    <w:uiPriority w:val="0"/>
    <w:pPr>
      <w:spacing w:after="120" w:afterLines="0" w:afterAutospacing="0"/>
      <w:ind w:left="420" w:leftChars="200"/>
    </w:pPr>
  </w:style>
  <w:style w:type="paragraph" w:styleId="7">
    <w:name w:val="footer"/>
    <w:basedOn w:val="1"/>
    <w:autoRedefine/>
    <w:qFormat/>
    <w:uiPriority w:val="99"/>
    <w:pPr>
      <w:tabs>
        <w:tab w:val="center" w:pos="4153"/>
        <w:tab w:val="right" w:pos="8306"/>
      </w:tabs>
    </w:pPr>
    <w:rPr>
      <w:sz w:val="18"/>
    </w:rPr>
  </w:style>
  <w:style w:type="paragraph" w:styleId="8">
    <w:name w:val="header"/>
    <w:basedOn w:val="1"/>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5"/>
    <w:autoRedefine/>
    <w:qFormat/>
    <w:uiPriority w:val="0"/>
    <w:pPr>
      <w:spacing w:before="100" w:beforeAutospacing="1"/>
      <w:ind w:firstLine="420" w:firstLineChars="100"/>
    </w:pPr>
    <w:rPr>
      <w:rFonts w:ascii="Times New Roman" w:hAnsi="Times New Roman" w:eastAsia="宋体" w:cs="Times New Roman"/>
      <w:sz w:val="24"/>
      <w:szCs w:val="22"/>
      <w:lang w:eastAsia="en-US" w:bidi="en-US"/>
    </w:rPr>
  </w:style>
  <w:style w:type="paragraph" w:styleId="11">
    <w:name w:val="Body Text First Indent 2"/>
    <w:basedOn w:val="6"/>
    <w:autoRedefine/>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2024-02-26T09:21:00Z</dcterms:created>
  <dc:creator>1</dc:creator>
  <cp:lastModifiedBy>米粒</cp:lastModifiedBy>
  <cp:lastPrinted>2024-03-06T08:17:21Z</cp:lastPrinted>
  <dcterms:modified xsi:type="dcterms:W3CDTF">2024-03-06T08:18:04Z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45D072737D8D4DDA84BF3AC3133C888C_13</vt:lpwstr>
  </property>
</Properties>
</file>