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Autospacing="0"/>
        <w:jc w:val="center"/>
        <w:rPr>
          <w:rFonts w:ascii="方正小标宋简体" w:hAnsi="方正小标宋简体" w:eastAsia="方正小标宋简体" w:cs="方正小标宋简体"/>
          <w:b/>
          <w:color w:val="333333"/>
          <w:sz w:val="40"/>
          <w:szCs w:val="40"/>
          <w:shd w:val="clear" w:color="auto" w:fill="FFFFFF"/>
        </w:rPr>
      </w:pPr>
      <w:r>
        <w:rPr>
          <w:rFonts w:hint="eastAsia" w:ascii="方正小标宋简体" w:hAnsi="方正小标宋简体" w:eastAsia="方正小标宋简体" w:cs="方正小标宋简体"/>
          <w:b/>
          <w:color w:val="333333"/>
          <w:sz w:val="40"/>
          <w:szCs w:val="40"/>
          <w:shd w:val="clear" w:color="auto" w:fill="FFFFFF"/>
        </w:rPr>
        <w:t>乡宁县市场监督管理局</w:t>
      </w:r>
    </w:p>
    <w:p>
      <w:pPr>
        <w:pStyle w:val="2"/>
        <w:widowControl/>
        <w:shd w:val="clear" w:color="auto" w:fill="FFFFFF"/>
        <w:spacing w:beforeAutospacing="0" w:afterAutospacing="0"/>
        <w:jc w:val="center"/>
        <w:rPr>
          <w:rFonts w:ascii="方正小标宋简体" w:hAnsi="方正小标宋简体" w:eastAsia="方正小标宋简体" w:cs="方正小标宋简体"/>
          <w:color w:val="333333"/>
          <w:sz w:val="40"/>
          <w:szCs w:val="40"/>
        </w:rPr>
      </w:pPr>
      <w:r>
        <w:rPr>
          <w:rFonts w:hint="eastAsia" w:ascii="方正小标宋简体" w:hAnsi="方正小标宋简体" w:eastAsia="方正小标宋简体" w:cs="方正小标宋简体"/>
          <w:b/>
          <w:color w:val="333333"/>
          <w:sz w:val="40"/>
          <w:szCs w:val="40"/>
          <w:shd w:val="clear" w:color="auto" w:fill="FFFFFF"/>
        </w:rPr>
        <w:t>2021年政府信息公开工作年度报告</w:t>
      </w:r>
    </w:p>
    <w:p>
      <w:pPr>
        <w:pStyle w:val="2"/>
        <w:widowControl/>
        <w:shd w:val="clear" w:color="auto" w:fill="FFFFFF"/>
        <w:spacing w:beforeAutospacing="0" w:afterAutospacing="0"/>
        <w:ind w:firstLine="420"/>
        <w:jc w:val="both"/>
        <w:rPr>
          <w:rFonts w:ascii="黑体" w:hAnsi="黑体" w:eastAsia="黑体" w:cs="黑体"/>
          <w:color w:val="333333"/>
          <w:sz w:val="32"/>
          <w:szCs w:val="32"/>
        </w:rPr>
      </w:pPr>
    </w:p>
    <w:p>
      <w:pPr>
        <w:pStyle w:val="2"/>
        <w:widowControl/>
        <w:shd w:val="clear" w:color="auto" w:fill="FFFFFF"/>
        <w:spacing w:beforeAutospacing="0" w:afterAutospacing="0"/>
        <w:ind w:firstLine="420"/>
        <w:jc w:val="both"/>
        <w:rPr>
          <w:rFonts w:ascii="黑体" w:hAnsi="黑体" w:eastAsia="黑体" w:cs="黑体"/>
          <w:color w:val="333333"/>
          <w:sz w:val="32"/>
          <w:szCs w:val="32"/>
        </w:rPr>
      </w:pPr>
      <w:r>
        <w:rPr>
          <w:rFonts w:hint="eastAsia" w:ascii="黑体" w:hAnsi="黑体" w:eastAsia="黑体" w:cs="黑体"/>
          <w:b/>
          <w:color w:val="333333"/>
          <w:sz w:val="32"/>
          <w:szCs w:val="32"/>
          <w:shd w:val="clear" w:color="auto" w:fill="FFFFFF"/>
        </w:rPr>
        <w:t>一</w:t>
      </w:r>
      <w:r>
        <w:rPr>
          <w:rFonts w:hint="eastAsia" w:ascii="黑体" w:hAnsi="黑体" w:eastAsia="黑体" w:cs="黑体"/>
          <w:bCs/>
          <w:color w:val="333333"/>
          <w:sz w:val="32"/>
          <w:szCs w:val="32"/>
          <w:shd w:val="clear" w:color="auto" w:fill="FFFFFF"/>
        </w:rPr>
        <w:t>、总体情况</w:t>
      </w:r>
    </w:p>
    <w:p>
      <w:pPr>
        <w:pStyle w:val="2"/>
        <w:widowControl/>
        <w:shd w:val="clear" w:color="auto" w:fill="FFFFFF"/>
        <w:spacing w:beforeAutospacing="0" w:afterAutospacing="0"/>
        <w:ind w:firstLine="42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我局今年公开的信息主要为我局食品抽检和行政处罚案件以及便民服务；所涉及的食品、药品方面的政策、法规等内容；食品、药品安全知识以及如何鉴别假药和假冒伪劣食品等方面。无咨询处理、行政复议和行政诉讼等。</w:t>
      </w:r>
    </w:p>
    <w:p>
      <w:pPr>
        <w:pStyle w:val="2"/>
        <w:widowControl/>
        <w:shd w:val="clear" w:color="auto" w:fill="FFFFFF"/>
        <w:spacing w:beforeAutospacing="0" w:afterAutospacing="0"/>
        <w:ind w:firstLine="420"/>
        <w:jc w:val="both"/>
        <w:rPr>
          <w:rFonts w:ascii="黑体" w:hAnsi="黑体" w:eastAsia="黑体" w:cs="黑体"/>
          <w:color w:val="333333"/>
          <w:sz w:val="32"/>
          <w:szCs w:val="32"/>
        </w:rPr>
      </w:pPr>
      <w:r>
        <w:rPr>
          <w:rFonts w:hint="eastAsia" w:ascii="黑体" w:hAnsi="黑体" w:eastAsia="黑体" w:cs="黑体"/>
          <w:color w:val="333333"/>
          <w:sz w:val="32"/>
          <w:szCs w:val="32"/>
        </w:rPr>
        <w:t>二、主动公开政府信息情况</w:t>
      </w:r>
    </w:p>
    <w:p>
      <w:pPr>
        <w:pStyle w:val="2"/>
        <w:widowControl/>
        <w:shd w:val="clear" w:color="auto" w:fill="FFFFFF"/>
        <w:spacing w:beforeAutospacing="0" w:afterAutospacing="0"/>
        <w:ind w:firstLine="420"/>
        <w:jc w:val="both"/>
        <w:rPr>
          <w:rFonts w:ascii="宋体" w:hAnsi="宋体" w:eastAsia="宋体" w:cs="宋体"/>
          <w:color w:val="333333"/>
        </w:rPr>
      </w:pPr>
    </w:p>
    <w:tbl>
      <w:tblPr>
        <w:tblStyle w:val="3"/>
        <w:tblW w:w="9740" w:type="dxa"/>
        <w:jc w:val="center"/>
        <w:tblLayout w:type="autofit"/>
        <w:tblCellMar>
          <w:top w:w="0" w:type="dxa"/>
          <w:left w:w="0" w:type="dxa"/>
          <w:bottom w:w="0" w:type="dxa"/>
          <w:right w:w="0" w:type="dxa"/>
        </w:tblCellMar>
      </w:tblPr>
      <w:tblGrid>
        <w:gridCol w:w="2435"/>
        <w:gridCol w:w="2435"/>
        <w:gridCol w:w="2435"/>
        <w:gridCol w:w="2435"/>
      </w:tblGrid>
      <w:tr>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第二十条第（一）项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本年</w:t>
            </w:r>
            <w:r>
              <w:rPr>
                <w:rFonts w:hint="eastAsia" w:ascii="宋体" w:hAnsi="宋体" w:eastAsia="宋体" w:cs="宋体"/>
                <w:kern w:val="0"/>
                <w:sz w:val="20"/>
                <w:szCs w:val="20"/>
                <w:lang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现行有效件</w:t>
            </w:r>
            <w:r>
              <w:rPr>
                <w:rFonts w:hint="eastAsia" w:ascii="宋体" w:hAnsi="宋体" w:eastAsia="宋体" w:cs="宋体"/>
                <w:kern w:val="0"/>
                <w:sz w:val="20"/>
                <w:szCs w:val="20"/>
                <w:lang w:bidi="ar"/>
              </w:rPr>
              <w:t>数</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ascii="宋体" w:hAnsi="宋体" w:eastAsia="宋体" w:cs="宋体"/>
                <w:color w:val="000000"/>
                <w:kern w:val="0"/>
                <w:sz w:val="20"/>
                <w:szCs w:val="20"/>
                <w:lang w:bidi="ar"/>
              </w:rPr>
              <w:t>0</w:t>
            </w:r>
            <w:r>
              <w:rPr>
                <w:rFonts w:hint="eastAsia" w:ascii="宋体" w:hAnsi="宋体" w:eastAsia="宋体" w:cs="宋体"/>
                <w:color w:val="000000"/>
                <w:kern w:val="0"/>
                <w:sz w:val="20"/>
                <w:szCs w:val="20"/>
                <w:lang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ascii="Calibri" w:hAnsi="Calibri" w:cs="Calibri"/>
                <w:kern w:val="0"/>
                <w:szCs w:val="21"/>
                <w:lang w:bidi="ar"/>
              </w:rPr>
              <w:t> 0</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ascii="Calibri" w:hAnsi="Calibri" w:cs="Calibri"/>
                <w:kern w:val="0"/>
                <w:szCs w:val="21"/>
                <w:lang w:bidi="ar"/>
              </w:rPr>
              <w:t> 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ascii="Calibri" w:hAnsi="Calibri" w:cs="Calibri"/>
                <w:kern w:val="0"/>
                <w:szCs w:val="21"/>
                <w:lang w:bidi="ar"/>
              </w:rPr>
              <w:t> 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第二十条第（六）项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　8</w:t>
            </w:r>
            <w:r>
              <w:rPr>
                <w:rFonts w:ascii="宋体" w:hAnsi="宋体" w:eastAsia="宋体" w:cs="宋体"/>
                <w:color w:val="000000"/>
                <w:kern w:val="0"/>
                <w:sz w:val="20"/>
                <w:szCs w:val="20"/>
                <w:lang w:bidi="ar"/>
              </w:rPr>
              <w:t>0</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　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widowControl/>
              <w:jc w:val="center"/>
            </w:pPr>
            <w:r>
              <w:rPr>
                <w:rFonts w:hint="eastAsia" w:ascii="宋体" w:hAnsi="宋体" w:eastAsia="宋体" w:cs="宋体"/>
                <w:color w:val="000000"/>
                <w:kern w:val="0"/>
                <w:sz w:val="20"/>
                <w:szCs w:val="20"/>
                <w:lang w:bidi="ar"/>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pPr>
            <w:r>
              <w:rPr>
                <w:rFonts w:hint="eastAsia" w:ascii="宋体" w:hAnsi="宋体" w:eastAsia="宋体" w:cs="宋体"/>
                <w:color w:val="000000"/>
                <w:kern w:val="0"/>
                <w:sz w:val="20"/>
                <w:szCs w:val="20"/>
                <w:lang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rPr>
                <w:rFonts w:ascii="宋体"/>
                <w:sz w:val="24"/>
              </w:rPr>
            </w:pPr>
            <w:r>
              <w:rPr>
                <w:rFonts w:hint="eastAsia" w:ascii="宋体"/>
                <w:sz w:val="24"/>
              </w:rPr>
              <w:t>0</w:t>
            </w:r>
          </w:p>
        </w:tc>
      </w:tr>
    </w:tbl>
    <w:p>
      <w:pPr>
        <w:widowControl/>
        <w:jc w:val="left"/>
        <w:rPr>
          <w:rFonts w:ascii="黑体" w:hAnsi="黑体" w:eastAsia="黑体" w:cs="黑体"/>
          <w:color w:val="333333"/>
          <w:kern w:val="0"/>
          <w:sz w:val="32"/>
          <w:szCs w:val="32"/>
          <w:lang w:bidi="ar"/>
        </w:rPr>
      </w:pPr>
    </w:p>
    <w:p>
      <w:pPr>
        <w:pStyle w:val="2"/>
        <w:widowControl/>
        <w:shd w:val="clear" w:color="auto" w:fill="FFFFFF"/>
        <w:spacing w:beforeAutospacing="0" w:afterAutospacing="0"/>
        <w:ind w:firstLine="420"/>
        <w:jc w:val="both"/>
        <w:rPr>
          <w:rFonts w:ascii="黑体" w:hAnsi="黑体" w:eastAsia="黑体" w:cs="黑体"/>
          <w:color w:val="333333"/>
          <w:sz w:val="32"/>
          <w:szCs w:val="32"/>
          <w:lang w:bidi="ar"/>
        </w:rPr>
      </w:pPr>
      <w:r>
        <w:rPr>
          <w:rFonts w:hint="eastAsia" w:ascii="黑体" w:hAnsi="黑体" w:eastAsia="黑体" w:cs="黑体"/>
          <w:color w:val="333333"/>
          <w:sz w:val="32"/>
          <w:szCs w:val="32"/>
          <w:lang w:bidi="ar"/>
        </w:rPr>
        <w:t>三、收到和处理政府信息公开申请情况</w:t>
      </w:r>
    </w:p>
    <w:p>
      <w:pPr>
        <w:pStyle w:val="2"/>
        <w:widowControl/>
        <w:shd w:val="clear" w:color="auto" w:fill="FFFFFF"/>
        <w:spacing w:beforeAutospacing="0" w:afterAutospacing="0"/>
        <w:ind w:firstLine="420"/>
        <w:jc w:val="both"/>
        <w:rPr>
          <w:rFonts w:ascii="宋体" w:hAnsi="宋体" w:eastAsia="宋体" w:cs="宋体"/>
          <w:color w:val="333333"/>
        </w:rPr>
      </w:pP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9"/>
        <w:gridCol w:w="947"/>
        <w:gridCol w:w="3214"/>
        <w:gridCol w:w="688"/>
        <w:gridCol w:w="688"/>
        <w:gridCol w:w="688"/>
        <w:gridCol w:w="688"/>
        <w:gridCol w:w="688"/>
        <w:gridCol w:w="689"/>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widowControl/>
              <w:jc w:val="left"/>
              <w:rPr>
                <w:sz w:val="24"/>
                <w:szCs w:val="32"/>
              </w:rPr>
            </w:pPr>
            <w:r>
              <w:rPr>
                <w:rFonts w:ascii="楷体" w:hAnsi="楷体" w:eastAsia="楷体" w:cs="楷体"/>
                <w:kern w:val="0"/>
                <w:sz w:val="22"/>
                <w:szCs w:val="22"/>
                <w:lang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ascii="宋体"/>
                <w:sz w:val="32"/>
                <w:szCs w:val="32"/>
              </w:rPr>
            </w:pPr>
          </w:p>
        </w:tc>
        <w:tc>
          <w:tcPr>
            <w:tcW w:w="714"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自然人</w:t>
            </w:r>
          </w:p>
        </w:tc>
        <w:tc>
          <w:tcPr>
            <w:tcW w:w="357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法人或其他组织</w:t>
            </w:r>
          </w:p>
        </w:tc>
        <w:tc>
          <w:tcPr>
            <w:tcW w:w="714"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ascii="宋体"/>
                <w:sz w:val="32"/>
                <w:szCs w:val="32"/>
              </w:rPr>
            </w:pPr>
          </w:p>
        </w:tc>
        <w:tc>
          <w:tcPr>
            <w:tcW w:w="714"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商业</w:t>
            </w:r>
          </w:p>
          <w:p>
            <w:pPr>
              <w:widowControl/>
              <w:jc w:val="center"/>
              <w:rPr>
                <w:sz w:val="24"/>
                <w:szCs w:val="32"/>
              </w:rPr>
            </w:pPr>
            <w:r>
              <w:rPr>
                <w:rFonts w:hint="eastAsia" w:ascii="宋体" w:hAnsi="宋体" w:eastAsia="宋体" w:cs="宋体"/>
                <w:kern w:val="0"/>
                <w:sz w:val="22"/>
                <w:szCs w:val="22"/>
                <w:lang w:bidi="ar"/>
              </w:rPr>
              <w:t>企业</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科研</w:t>
            </w:r>
          </w:p>
          <w:p>
            <w:pPr>
              <w:widowControl/>
              <w:jc w:val="center"/>
              <w:rPr>
                <w:sz w:val="24"/>
                <w:szCs w:val="32"/>
              </w:rPr>
            </w:pPr>
            <w:r>
              <w:rPr>
                <w:rFonts w:hint="eastAsia" w:ascii="宋体" w:hAnsi="宋体" w:eastAsia="宋体" w:cs="宋体"/>
                <w:kern w:val="0"/>
                <w:sz w:val="22"/>
                <w:szCs w:val="22"/>
                <w:lang w:bidi="ar"/>
              </w:rPr>
              <w:t>机构</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社会公益组织</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法律服务机构</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hint="eastAsia" w:ascii="宋体" w:hAnsi="宋体" w:eastAsia="宋体" w:cs="宋体"/>
                <w:kern w:val="0"/>
                <w:sz w:val="22"/>
                <w:szCs w:val="22"/>
                <w:lang w:bidi="ar"/>
              </w:rPr>
              <w:t>其他</w:t>
            </w:r>
          </w:p>
        </w:tc>
        <w:tc>
          <w:tcPr>
            <w:tcW w:w="714"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一、本年新收政府信息公开申请数量</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二、上年结转政府信息公开申请数量</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三、本年度办理结果</w:t>
            </w: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（一）予以公开</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（二）部分公开</w:t>
            </w:r>
            <w:r>
              <w:rPr>
                <w:rFonts w:hint="eastAsia" w:ascii="楷体" w:hAnsi="楷体" w:eastAsia="楷体" w:cs="楷体"/>
                <w:kern w:val="0"/>
                <w:sz w:val="22"/>
                <w:szCs w:val="22"/>
                <w:lang w:bidi="ar"/>
              </w:rPr>
              <w:t>（区分处理的，只计这一情形，不计其他情形）</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（三）不予公开</w:t>
            </w: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1.属于国家秘密</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single" w:color="auto" w:sz="8" w:space="0"/>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2.其他法律行政法规禁止公开</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3.危及“三安全一稳定”</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4.保护第三方合法权益</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5.属于三类内部事务信息</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6.属于四类过程性信息</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7.属于行政执法案卷</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8.属于行政查询事项</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（四）无法提供</w:t>
            </w: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1.本机关不掌握相关政府信息</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2.没有现成信息需要另行制作</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3.补正后申请内容仍不明确</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（五）不予处理</w:t>
            </w: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1.信访举报投诉类申请</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2.重复申请</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0 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3.要求提供公开出版物</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0 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tcPr>
          <w:p>
            <w:pPr>
              <w:widowControl/>
              <w:jc w:val="left"/>
              <w:rPr>
                <w:sz w:val="24"/>
                <w:szCs w:val="32"/>
              </w:rPr>
            </w:pPr>
            <w:r>
              <w:rPr>
                <w:rFonts w:hint="eastAsia" w:ascii="宋体" w:hAnsi="宋体" w:eastAsia="宋体" w:cs="宋体"/>
                <w:kern w:val="0"/>
                <w:sz w:val="22"/>
                <w:szCs w:val="22"/>
                <w:lang w:bidi="ar"/>
              </w:rPr>
              <w:t>4.无正当理由大量反复申请</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0 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outset" w:color="auto" w:sz="8" w:space="0"/>
              <w:right w:val="single" w:color="auto" w:sz="8" w:space="0"/>
            </w:tcBorders>
            <w:shd w:val="clear" w:color="auto" w:fill="auto"/>
            <w:tcMar>
              <w:left w:w="57" w:type="dxa"/>
              <w:right w:w="57" w:type="dxa"/>
            </w:tcMar>
            <w:vAlign w:val="center"/>
          </w:tcPr>
          <w:p>
            <w:pPr>
              <w:widowControl/>
              <w:rPr>
                <w:sz w:val="24"/>
                <w:szCs w:val="32"/>
              </w:rPr>
            </w:pPr>
            <w:r>
              <w:rPr>
                <w:rFonts w:hint="eastAsia" w:ascii="宋体" w:hAnsi="宋体" w:eastAsia="宋体" w:cs="宋体"/>
                <w:kern w:val="0"/>
                <w:sz w:val="22"/>
                <w:szCs w:val="22"/>
                <w:lang w:bidi="ar"/>
              </w:rPr>
              <w:t>5.要求行政机关确认或重新出具已获取信息</w:t>
            </w:r>
          </w:p>
        </w:tc>
        <w:tc>
          <w:tcPr>
            <w:tcW w:w="714" w:type="dxa"/>
            <w:tcBorders>
              <w:top w:val="nil"/>
              <w:left w:val="nil"/>
              <w:bottom w:val="outset"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0 </w:t>
            </w:r>
          </w:p>
        </w:tc>
        <w:tc>
          <w:tcPr>
            <w:tcW w:w="714" w:type="dxa"/>
            <w:tcBorders>
              <w:top w:val="nil"/>
              <w:left w:val="nil"/>
              <w:bottom w:val="outset"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outset"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（六）其他处理</w:t>
            </w: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rPr>
                <w:sz w:val="24"/>
                <w:szCs w:val="32"/>
              </w:rPr>
            </w:pPr>
            <w:r>
              <w:rPr>
                <w:rFonts w:hint="eastAsia" w:ascii="宋体" w:hAnsi="宋体" w:eastAsia="宋体" w:cs="宋体"/>
                <w:kern w:val="0"/>
                <w:sz w:val="22"/>
                <w:szCs w:val="22"/>
                <w:lang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rPr>
                <w:sz w:val="24"/>
                <w:szCs w:val="32"/>
              </w:rPr>
            </w:pPr>
            <w:r>
              <w:rPr>
                <w:rFonts w:hint="eastAsia" w:ascii="宋体" w:hAnsi="宋体" w:eastAsia="宋体" w:cs="宋体"/>
                <w:kern w:val="0"/>
                <w:sz w:val="22"/>
                <w:szCs w:val="22"/>
                <w:lang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0</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95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3406"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3.其他</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0 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ascii="宋体"/>
                <w:sz w:val="32"/>
                <w:szCs w:val="32"/>
              </w:rPr>
            </w:pPr>
          </w:p>
        </w:tc>
        <w:tc>
          <w:tcPr>
            <w:tcW w:w="4365"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（七）总计</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0 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widowControl/>
              <w:jc w:val="center"/>
              <w:rPr>
                <w:sz w:val="24"/>
                <w:szCs w:val="32"/>
              </w:rPr>
            </w:pPr>
            <w:r>
              <w:rPr>
                <w:rFonts w:ascii="Calibri" w:hAnsi="Calibri" w:cs="Calibri"/>
                <w:kern w:val="0"/>
                <w:sz w:val="22"/>
                <w:szCs w:val="22"/>
                <w:lang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widowControl/>
              <w:jc w:val="left"/>
              <w:rPr>
                <w:sz w:val="24"/>
                <w:szCs w:val="32"/>
              </w:rPr>
            </w:pPr>
            <w:r>
              <w:rPr>
                <w:rFonts w:hint="eastAsia" w:ascii="宋体" w:hAnsi="宋体" w:eastAsia="宋体" w:cs="宋体"/>
                <w:kern w:val="0"/>
                <w:sz w:val="22"/>
                <w:szCs w:val="22"/>
                <w:lang w:bidi="ar"/>
              </w:rPr>
              <w:t>四、结转下年度继续办理</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0 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jc w:val="center"/>
              <w:rPr>
                <w:sz w:val="24"/>
                <w:szCs w:val="32"/>
              </w:rPr>
            </w:pPr>
            <w:r>
              <w:rPr>
                <w:rFonts w:ascii="Calibri" w:hAnsi="Calibri" w:cs="Calibri"/>
                <w:kern w:val="0"/>
                <w:sz w:val="22"/>
                <w:szCs w:val="22"/>
                <w:lang w:bidi="ar"/>
              </w:rPr>
              <w:t> </w:t>
            </w:r>
          </w:p>
        </w:tc>
        <w:tc>
          <w:tcPr>
            <w:tcW w:w="714" w:type="dxa"/>
            <w:tcBorders>
              <w:top w:val="nil"/>
              <w:left w:val="nil"/>
              <w:bottom w:val="single" w:color="auto" w:sz="8" w:space="0"/>
              <w:right w:val="single" w:color="auto" w:sz="8" w:space="0"/>
            </w:tcBorders>
            <w:shd w:val="clear" w:color="auto" w:fill="auto"/>
            <w:tcMar>
              <w:left w:w="57" w:type="dxa"/>
              <w:right w:w="57" w:type="dxa"/>
            </w:tcMar>
          </w:tcPr>
          <w:p>
            <w:pPr>
              <w:rPr>
                <w:rFonts w:ascii="宋体"/>
                <w:sz w:val="32"/>
                <w:szCs w:val="32"/>
              </w:rPr>
            </w:pPr>
          </w:p>
        </w:tc>
      </w:tr>
    </w:tbl>
    <w:p>
      <w:pPr>
        <w:widowControl/>
        <w:shd w:val="clear" w:color="auto" w:fill="FFFFFF"/>
        <w:jc w:val="center"/>
        <w:rPr>
          <w:rFonts w:ascii="宋体" w:hAnsi="宋体" w:eastAsia="宋体" w:cs="宋体"/>
          <w:color w:val="333333"/>
          <w:sz w:val="24"/>
        </w:rPr>
      </w:pPr>
    </w:p>
    <w:p>
      <w:pPr>
        <w:widowControl/>
        <w:jc w:val="left"/>
        <w:rPr>
          <w:rFonts w:ascii="黑体" w:hAnsi="黑体" w:eastAsia="黑体" w:cs="黑体"/>
          <w:color w:val="333333"/>
          <w:kern w:val="0"/>
          <w:sz w:val="32"/>
          <w:szCs w:val="32"/>
          <w:lang w:bidi="ar"/>
        </w:rPr>
      </w:pPr>
      <w:r>
        <w:rPr>
          <w:rFonts w:hint="eastAsia" w:ascii="黑体" w:hAnsi="黑体" w:eastAsia="黑体" w:cs="黑体"/>
          <w:color w:val="333333"/>
          <w:kern w:val="0"/>
          <w:sz w:val="32"/>
          <w:szCs w:val="32"/>
          <w:lang w:bidi="ar"/>
        </w:rPr>
        <w:t>四、政府信息公开行政复议、行政诉讼情况</w:t>
      </w:r>
    </w:p>
    <w:p>
      <w:pPr>
        <w:widowControl/>
        <w:shd w:val="clear" w:color="auto" w:fill="FFFFFF"/>
        <w:jc w:val="center"/>
        <w:rPr>
          <w:rFonts w:ascii="宋体" w:hAnsi="宋体" w:eastAsia="宋体" w:cs="宋体"/>
          <w:color w:val="333333"/>
          <w:sz w:val="24"/>
        </w:rPr>
      </w:pP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行政复议</w:t>
            </w:r>
          </w:p>
        </w:tc>
        <w:tc>
          <w:tcPr>
            <w:tcW w:w="6428"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结果维持</w:t>
            </w:r>
          </w:p>
        </w:tc>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结果</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纠正</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其他</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结果</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尚未</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审结</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总计</w:t>
            </w:r>
          </w:p>
        </w:tc>
        <w:tc>
          <w:tcPr>
            <w:tcW w:w="3213"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8"/>
                <w:szCs w:val="28"/>
              </w:rPr>
            </w:pPr>
          </w:p>
        </w:tc>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8"/>
                <w:szCs w:val="28"/>
              </w:rPr>
            </w:pP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结果</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维持</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结果</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其他</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尚未</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color w:val="000000"/>
                <w:kern w:val="0"/>
                <w:szCs w:val="21"/>
                <w:lang w:bidi="ar"/>
              </w:rPr>
              <w:t>总计</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结果</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维持</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结果</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color w:val="000000"/>
                <w:kern w:val="0"/>
                <w:szCs w:val="21"/>
                <w:lang w:bidi="ar"/>
              </w:rPr>
              <w:t>其他</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kern w:val="0"/>
                <w:szCs w:val="21"/>
                <w:lang w:bidi="ar"/>
              </w:rPr>
              <w:t>尚未</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宋体" w:hAnsi="宋体" w:eastAsia="宋体" w:cs="宋体"/>
                <w:color w:val="000000"/>
                <w:kern w:val="0"/>
                <w:szCs w:val="21"/>
                <w:lang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ascii="黑体" w:hAnsi="宋体" w:eastAsia="黑体" w:cs="黑体"/>
                <w:kern w:val="0"/>
                <w:szCs w:val="21"/>
                <w:lang w:bidi="ar"/>
              </w:rPr>
              <w:t> 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sz w:val="22"/>
                <w:szCs w:val="28"/>
              </w:rPr>
            </w:pPr>
            <w:r>
              <w:rPr>
                <w:rFonts w:hint="eastAsia" w:ascii="黑体" w:hAnsi="宋体" w:eastAsia="黑体" w:cs="黑体"/>
                <w:kern w:val="0"/>
                <w:szCs w:val="21"/>
                <w:lang w:bidi="ar"/>
              </w:rPr>
              <w:t> </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8"/>
                <w:szCs w:val="28"/>
              </w:rPr>
            </w:pPr>
          </w:p>
        </w:tc>
      </w:tr>
    </w:tbl>
    <w:p>
      <w:pPr>
        <w:widowControl/>
        <w:jc w:val="left"/>
      </w:pPr>
    </w:p>
    <w:p>
      <w:pPr>
        <w:widowControl/>
        <w:jc w:val="left"/>
        <w:rPr>
          <w:rFonts w:ascii="黑体" w:hAnsi="黑体" w:eastAsia="黑体" w:cs="黑体"/>
          <w:color w:val="333333"/>
          <w:kern w:val="0"/>
          <w:sz w:val="32"/>
          <w:szCs w:val="32"/>
          <w:lang w:bidi="ar"/>
        </w:rPr>
      </w:pPr>
      <w:r>
        <w:rPr>
          <w:rFonts w:hint="eastAsia" w:ascii="黑体" w:hAnsi="黑体" w:eastAsia="黑体" w:cs="黑体"/>
          <w:color w:val="333333"/>
          <w:kern w:val="0"/>
          <w:sz w:val="32"/>
          <w:szCs w:val="32"/>
          <w:lang w:bidi="ar"/>
        </w:rPr>
        <w:t>五、存在的主要问题及改进情况</w:t>
      </w:r>
    </w:p>
    <w:p>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年，我局将进一步加大政府信息的推进力度，进一步充实政府信息公开内容，尤其是把与人民群众切身利益密切相关的政府信息，作为政府信息公开的主要内容，继续深化信息公开内容，扩大公开范围，拓展公开渠道。将政府信息公开工作作为机关日常工作的重要组成部分切实落到实处，以确保公开信息的及时性、准确性和有效性。继续加强与政府各部门之间的沟通、交流与学习，不断提升政府信息公开工作的质量与水平。</w:t>
      </w:r>
    </w:p>
    <w:p>
      <w:pPr>
        <w:widowControl/>
        <w:jc w:val="left"/>
        <w:rPr>
          <w:rFonts w:ascii="黑体" w:hAnsi="黑体" w:eastAsia="黑体" w:cs="黑体"/>
          <w:color w:val="333333"/>
          <w:kern w:val="0"/>
          <w:sz w:val="32"/>
          <w:szCs w:val="32"/>
          <w:lang w:bidi="ar"/>
        </w:rPr>
      </w:pPr>
      <w:r>
        <w:rPr>
          <w:rFonts w:hint="eastAsia" w:ascii="黑体" w:hAnsi="黑体" w:eastAsia="黑体" w:cs="黑体"/>
          <w:color w:val="333333"/>
          <w:kern w:val="0"/>
          <w:sz w:val="32"/>
          <w:szCs w:val="32"/>
          <w:lang w:bidi="ar"/>
        </w:rPr>
        <w:t>六、其他需要报告的事项</w:t>
      </w:r>
    </w:p>
    <w:p>
      <w:pPr>
        <w:spacing w:line="640" w:lineRule="exact"/>
        <w:ind w:firstLine="640" w:firstLineChars="200"/>
        <w:rPr>
          <w:rFonts w:hint="eastAsia" w:ascii="仿宋_GB2312" w:hAnsi="仿宋_GB2312" w:eastAsia="仿宋_GB2312" w:cs="仿宋_GB2312"/>
          <w:sz w:val="32"/>
          <w:szCs w:val="32"/>
          <w:lang w:eastAsia="zh-CN"/>
        </w:rPr>
      </w:pPr>
      <w:bookmarkStart w:id="0" w:name="_GoBack"/>
      <w:bookmarkEnd w:id="0"/>
      <w:r>
        <w:rPr>
          <w:rFonts w:hint="eastAsia" w:ascii="仿宋_GB2312" w:hAnsi="仿宋_GB2312" w:eastAsia="仿宋_GB2312" w:cs="仿宋_GB2312"/>
          <w:sz w:val="32"/>
          <w:szCs w:val="32"/>
          <w:lang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7E55C5"/>
    <w:rsid w:val="00C63C66"/>
    <w:rsid w:val="00D724C4"/>
    <w:rsid w:val="00ED6F33"/>
    <w:rsid w:val="2383058A"/>
    <w:rsid w:val="327E55C5"/>
    <w:rsid w:val="37681B3D"/>
    <w:rsid w:val="401B5ECF"/>
    <w:rsid w:val="53A154D9"/>
    <w:rsid w:val="5C4C3FAF"/>
    <w:rsid w:val="5DDC2F19"/>
    <w:rsid w:val="62663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Pages>
  <Words>256</Words>
  <Characters>1461</Characters>
  <Lines>12</Lines>
  <Paragraphs>3</Paragraphs>
  <TotalTime>5</TotalTime>
  <ScaleCrop>false</ScaleCrop>
  <LinksUpToDate>false</LinksUpToDate>
  <CharactersWithSpaces>1714</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2022-01-16T08:47:00Z</dcterms:created>
  <dc:creator>JWH</dc:creator>
  <cp:lastModifiedBy>JWH</cp:lastModifiedBy>
  <dcterms:modified xsi:type="dcterms:W3CDTF">2022-02-24T00:59:51Z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