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750" w:type="dxa"/>
        <w:tblCellSpacing w:w="0" w:type="dxa"/>
        <w:tblInd w:w="-639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50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750" w:type="dxa"/>
            <w:shd w:val="clear" w:color="auto" w:fill="FFFFFF"/>
            <w:vAlign w:val="center"/>
          </w:tcPr>
          <w:p>
            <w:pPr>
              <w:pStyle w:val="5"/>
              <w:widowControl/>
              <w:spacing w:beforeAutospacing="0" w:afterAutospacing="0" w:line="432" w:lineRule="atLeast"/>
              <w:jc w:val="center"/>
              <w:rPr>
                <w:rFonts w:ascii="宋体" w:hAnsi="宋体" w:eastAsia="宋体" w:cs="宋体"/>
                <w:b/>
                <w:color w:val="333333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color w:val="333333"/>
                <w:sz w:val="36"/>
                <w:szCs w:val="36"/>
              </w:rPr>
              <w:t>乡宁县</w:t>
            </w:r>
            <w:r>
              <w:rPr>
                <w:rFonts w:hint="eastAsia" w:ascii="宋体" w:hAnsi="宋体" w:eastAsia="宋体" w:cs="宋体"/>
                <w:b/>
                <w:color w:val="333333"/>
                <w:sz w:val="36"/>
                <w:szCs w:val="36"/>
                <w:lang w:eastAsia="zh-CN"/>
              </w:rPr>
              <w:t>文化和旅游</w:t>
            </w:r>
            <w:r>
              <w:rPr>
                <w:rFonts w:hint="eastAsia" w:ascii="宋体" w:hAnsi="宋体" w:eastAsia="宋体" w:cs="宋体"/>
                <w:b/>
                <w:color w:val="333333"/>
                <w:sz w:val="36"/>
                <w:szCs w:val="36"/>
              </w:rPr>
              <w:t>局2020年信息公开工作年度报告</w:t>
            </w:r>
          </w:p>
          <w:p>
            <w:pPr>
              <w:pStyle w:val="5"/>
              <w:widowControl/>
              <w:numPr>
                <w:ilvl w:val="0"/>
                <w:numId w:val="1"/>
              </w:numPr>
              <w:spacing w:beforeAutospacing="0" w:afterAutospacing="0" w:line="660" w:lineRule="exact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总体情况</w:t>
            </w:r>
          </w:p>
          <w:p>
            <w:pPr>
              <w:spacing w:line="660" w:lineRule="exact"/>
              <w:ind w:firstLine="640" w:firstLineChars="20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2020年以来，乡宁县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文化和旅游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sz w:val="32"/>
                <w:szCs w:val="32"/>
              </w:rPr>
              <w:t>局在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委、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政府的坚强领导下，认真贯彻落实《中华人民共和国政府信息公开条例》，紧紧围绕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委、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政府信息公开工作相关要求，不断推进、深化政府信息公开工作，取得明显成果。现将我局2020年政务公开工作汇报如下：</w:t>
            </w:r>
          </w:p>
          <w:p>
            <w:pPr>
              <w:spacing w:line="660" w:lineRule="exact"/>
              <w:ind w:firstLine="668" w:firstLineChars="209"/>
              <w:rPr>
                <w:rFonts w:ascii="黑体" w:hAnsi="黑体" w:eastAsia="黑体" w:cs="宋体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z w:val="32"/>
                <w:szCs w:val="32"/>
              </w:rPr>
              <w:t>（一）领导重视，进一步完善工作机制</w:t>
            </w:r>
          </w:p>
          <w:p>
            <w:pPr>
              <w:spacing w:line="660" w:lineRule="exact"/>
              <w:ind w:firstLine="51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sz w:val="32"/>
                <w:szCs w:val="32"/>
              </w:rPr>
              <w:t>（1）加强组织领导。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局领导高度重视政务公开工作。安排专人负责政务公开工作；明确了责任人、制定了工作方案，形成了各负其责、层层落实的局面，有力保障政务公开工作深入开展。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40" w:lineRule="exact"/>
              <w:ind w:right="0" w:firstLine="640" w:firstLineChars="200"/>
              <w:jc w:val="left"/>
              <w:textAlignment w:val="auto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楷体" w:hAnsi="楷体" w:eastAsia="楷体" w:cs="宋体"/>
                <w:b w:val="0"/>
                <w:kern w:val="2"/>
                <w:sz w:val="32"/>
                <w:szCs w:val="32"/>
                <w:lang w:val="en-US" w:eastAsia="zh-CN" w:bidi="ar-SA"/>
              </w:rPr>
              <w:t>（2）健全工作机制。</w:t>
            </w:r>
            <w:r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  <w:t>制定下发了《乡宁县文化和旅游局关于全面推进政务公开标准化规范化工作方案》</w:t>
            </w:r>
            <w:r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  <w:t>，明确了由办公室牵头，各股室协同配合，共同做好政务信息公开工作。</w:t>
            </w:r>
          </w:p>
          <w:p>
            <w:pPr>
              <w:spacing w:line="660" w:lineRule="exact"/>
              <w:ind w:firstLine="510"/>
              <w:rPr>
                <w:rFonts w:ascii="黑体" w:hAnsi="黑体" w:eastAsia="黑体" w:cs="宋体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z w:val="32"/>
                <w:szCs w:val="32"/>
              </w:rPr>
              <w:t>（二）主动公开政务信息情况</w:t>
            </w:r>
          </w:p>
          <w:p>
            <w:pPr>
              <w:spacing w:line="660" w:lineRule="exact"/>
              <w:ind w:firstLine="480" w:firstLineChars="150"/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  <w:t>（1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）</w:t>
            </w:r>
            <w:r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  <w:t>我单位2020年在乡宁县人民政府门户网站报送公开信息5次，2020年</w:t>
            </w:r>
            <w:r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  <w:t>微信公众号</w:t>
            </w:r>
            <w:r>
              <w:rPr>
                <w:rFonts w:hint="eastAsia" w:ascii="仿宋" w:hAnsi="仿宋" w:eastAsia="仿宋" w:cs="宋体"/>
                <w:b w:val="0"/>
                <w:kern w:val="2"/>
                <w:sz w:val="32"/>
                <w:szCs w:val="32"/>
                <w:lang w:val="en-US" w:eastAsia="zh-CN" w:bidi="ar-SA"/>
              </w:rPr>
              <w:t>共计发布各类信息35条，目前我局政务公开工作正常开展。</w:t>
            </w:r>
          </w:p>
          <w:p>
            <w:pPr>
              <w:spacing w:line="660" w:lineRule="exact"/>
              <w:ind w:firstLine="51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（2）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规范文件公开属性和政策解读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。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根据要求第一时间填写提交报送《拟发文件公开属性和政策解读申报表》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。</w:t>
            </w:r>
          </w:p>
          <w:p>
            <w:pPr>
              <w:spacing w:line="660" w:lineRule="exact"/>
              <w:ind w:firstLine="510"/>
              <w:rPr>
                <w:rFonts w:ascii="黑体" w:hAnsi="黑体" w:eastAsia="黑体" w:cs="宋体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z w:val="32"/>
                <w:szCs w:val="32"/>
              </w:rPr>
              <w:t>（三）依申请公开工作情况</w:t>
            </w:r>
          </w:p>
          <w:p>
            <w:pPr>
              <w:spacing w:line="660" w:lineRule="exact"/>
              <w:ind w:firstLine="51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全年未接到公开信息的申请。</w:t>
            </w:r>
          </w:p>
          <w:p>
            <w:pPr>
              <w:spacing w:line="660" w:lineRule="exact"/>
              <w:ind w:firstLine="510"/>
              <w:rPr>
                <w:rFonts w:ascii="黑体" w:hAnsi="黑体" w:eastAsia="黑体" w:cs="宋体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z w:val="32"/>
                <w:szCs w:val="32"/>
              </w:rPr>
              <w:t>（四）行政复议和行政诉讼情况</w:t>
            </w:r>
          </w:p>
          <w:p>
            <w:pPr>
              <w:spacing w:line="660" w:lineRule="exact"/>
              <w:ind w:firstLine="51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全年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未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发生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行政复议和行政诉讼情况。</w:t>
            </w:r>
          </w:p>
          <w:p>
            <w:pPr>
              <w:pStyle w:val="5"/>
              <w:widowControl/>
              <w:numPr>
                <w:ilvl w:val="0"/>
                <w:numId w:val="1"/>
              </w:numPr>
              <w:spacing w:beforeAutospacing="0" w:afterAutospacing="0" w:line="660" w:lineRule="exact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主动公开政府信息情况</w:t>
            </w:r>
          </w:p>
          <w:tbl>
            <w:tblPr>
              <w:tblStyle w:val="6"/>
              <w:tblW w:w="5000" w:type="pct"/>
              <w:jc w:val="cente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728"/>
              <w:gridCol w:w="2244"/>
              <w:gridCol w:w="8"/>
              <w:gridCol w:w="1513"/>
              <w:gridCol w:w="2257"/>
            </w:tblGrid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第二十条第（一）项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151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本年新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br w:type="textWrapping"/>
                  </w:r>
                  <w:r>
                    <w:rPr>
                      <w:kern w:val="0"/>
                      <w:sz w:val="20"/>
                      <w:szCs w:val="20"/>
                    </w:rPr>
                    <w:t>制作数量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本年新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br w:type="textWrapping"/>
                  </w:r>
                  <w:r>
                    <w:rPr>
                      <w:kern w:val="0"/>
                      <w:sz w:val="20"/>
                      <w:szCs w:val="20"/>
                    </w:rPr>
                    <w:t>公开数量</w:t>
                  </w:r>
                </w:p>
              </w:tc>
              <w:tc>
                <w:tcPr>
                  <w:tcW w:w="115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对外公开总数量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规章</w:t>
                  </w:r>
                </w:p>
              </w:tc>
              <w:tc>
                <w:tcPr>
                  <w:tcW w:w="115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规范性文件</w:t>
                  </w:r>
                </w:p>
              </w:tc>
              <w:tc>
                <w:tcPr>
                  <w:tcW w:w="115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第二十条第（五）项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151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上一年项目数量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本年增/减</w:t>
                  </w:r>
                </w:p>
              </w:tc>
              <w:tc>
                <w:tcPr>
                  <w:tcW w:w="115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处理决定数量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行政许可</w:t>
                  </w:r>
                </w:p>
              </w:tc>
              <w:tc>
                <w:tcPr>
                  <w:tcW w:w="1155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7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ind w:firstLine="400" w:firstLineChars="20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其他对外管理服务事项</w:t>
                  </w:r>
                </w:p>
              </w:tc>
              <w:tc>
                <w:tcPr>
                  <w:tcW w:w="1155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7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第二十条第（六）项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151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上一年项目数量</w:t>
                  </w:r>
                </w:p>
              </w:tc>
              <w:tc>
                <w:tcPr>
                  <w:tcW w:w="780" w:type="pct"/>
                  <w:gridSpan w:val="2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本年增/减</w:t>
                  </w:r>
                </w:p>
              </w:tc>
              <w:tc>
                <w:tcPr>
                  <w:tcW w:w="115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处理决定数量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行政处罚</w:t>
                  </w:r>
                </w:p>
              </w:tc>
              <w:tc>
                <w:tcPr>
                  <w:tcW w:w="1155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7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行政强制</w:t>
                  </w:r>
                </w:p>
              </w:tc>
              <w:tc>
                <w:tcPr>
                  <w:tcW w:w="1155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76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5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第二十条第（八）项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155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上一年项目数量</w:t>
                  </w:r>
                </w:p>
              </w:tc>
              <w:tc>
                <w:tcPr>
                  <w:tcW w:w="1932" w:type="pct"/>
                  <w:gridSpan w:val="2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本年增/减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行政事业性收费</w:t>
                  </w:r>
                </w:p>
              </w:tc>
              <w:tc>
                <w:tcPr>
                  <w:tcW w:w="1155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eastAsiaTheme="minorEastAsia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193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5000" w:type="pct"/>
                  <w:gridSpan w:val="5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第二十条第（九）项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155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采购项目数量</w:t>
                  </w:r>
                </w:p>
              </w:tc>
              <w:tc>
                <w:tcPr>
                  <w:tcW w:w="1932" w:type="pct"/>
                  <w:gridSpan w:val="2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采购总金额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3" w:hRule="atLeast"/>
                <w:jc w:val="center"/>
              </w:trPr>
              <w:tc>
                <w:tcPr>
                  <w:tcW w:w="191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政府集中采购</w:t>
                  </w:r>
                </w:p>
              </w:tc>
              <w:tc>
                <w:tcPr>
                  <w:tcW w:w="1155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eastAsiaTheme="minorEastAsia"/>
                      <w:lang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3</w:t>
                  </w:r>
                </w:p>
              </w:tc>
              <w:tc>
                <w:tcPr>
                  <w:tcW w:w="1932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jc w:val="center"/>
                    <w:rPr>
                      <w:rFonts w:ascii="宋体"/>
                      <w:sz w:val="24"/>
                    </w:rPr>
                  </w:pPr>
                  <w:r>
                    <w:rPr>
                      <w:rFonts w:hint="eastAsia" w:ascii="宋体"/>
                      <w:sz w:val="24"/>
                      <w:lang w:val="en-US" w:eastAsia="zh-CN"/>
                    </w:rPr>
                    <w:t>57.8</w:t>
                  </w:r>
                  <w:r>
                    <w:rPr>
                      <w:rFonts w:hint="eastAsia" w:ascii="宋体"/>
                      <w:sz w:val="24"/>
                    </w:rPr>
                    <w:t>万元</w:t>
                  </w:r>
                </w:p>
              </w:tc>
            </w:tr>
          </w:tbl>
          <w:p>
            <w:pPr>
              <w:pStyle w:val="5"/>
              <w:widowControl/>
              <w:numPr>
                <w:ilvl w:val="0"/>
                <w:numId w:val="1"/>
              </w:numPr>
              <w:spacing w:beforeAutospacing="0" w:afterAutospacing="0" w:line="660" w:lineRule="exact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收到和处理政府信息公开申请情况</w:t>
            </w:r>
          </w:p>
          <w:tbl>
            <w:tblPr>
              <w:tblStyle w:val="6"/>
              <w:tblW w:w="4999" w:type="pct"/>
              <w:jc w:val="center"/>
              <w:tblBorders>
                <w:top w:val="none" w:color="auto" w:sz="6" w:space="0"/>
                <w:left w:val="none" w:color="auto" w:sz="6" w:space="0"/>
                <w:bottom w:val="none" w:color="auto" w:sz="6" w:space="0"/>
                <w:right w:val="none" w:color="auto" w:sz="6" w:space="0"/>
                <w:insideH w:val="outset" w:color="auto" w:sz="6" w:space="0"/>
                <w:insideV w:val="outset" w:color="auto" w:sz="6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16"/>
              <w:gridCol w:w="908"/>
              <w:gridCol w:w="2281"/>
              <w:gridCol w:w="875"/>
              <w:gridCol w:w="811"/>
              <w:gridCol w:w="811"/>
              <w:gridCol w:w="875"/>
              <w:gridCol w:w="1053"/>
              <w:gridCol w:w="769"/>
              <w:gridCol w:w="749"/>
            </w:tblGrid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17" w:type="pct"/>
                  <w:gridSpan w:val="3"/>
                  <w:vMerge w:val="restar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（本列数据的勾稽关系为：第一项加第二项之和，等于第三项加第四项之和）</w:t>
                  </w:r>
                </w:p>
              </w:tc>
              <w:tc>
                <w:tcPr>
                  <w:tcW w:w="3082" w:type="pct"/>
                  <w:gridSpan w:val="7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申请人情况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17" w:type="pct"/>
                  <w:gridSpan w:val="3"/>
                  <w:vMerge w:val="continue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54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自然人</w:t>
                  </w:r>
                </w:p>
              </w:tc>
              <w:tc>
                <w:tcPr>
                  <w:tcW w:w="2240" w:type="pct"/>
                  <w:gridSpan w:val="5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法人或其他组织</w:t>
                  </w:r>
                </w:p>
              </w:tc>
              <w:tc>
                <w:tcPr>
                  <w:tcW w:w="387" w:type="pct"/>
                  <w:vMerge w:val="restar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总计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17" w:type="pct"/>
                  <w:gridSpan w:val="3"/>
                  <w:vMerge w:val="continue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54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商业企业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科研机构</w:t>
                  </w:r>
                </w:p>
              </w:tc>
              <w:tc>
                <w:tcPr>
                  <w:tcW w:w="454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社会公益组织</w:t>
                  </w:r>
                </w:p>
              </w:tc>
              <w:tc>
                <w:tcPr>
                  <w:tcW w:w="545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法律服务机构</w:t>
                  </w:r>
                </w:p>
              </w:tc>
              <w:tc>
                <w:tcPr>
                  <w:tcW w:w="398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其他</w:t>
                  </w:r>
                </w:p>
              </w:tc>
              <w:tc>
                <w:tcPr>
                  <w:tcW w:w="387" w:type="pct"/>
                  <w:vMerge w:val="continue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17" w:type="pct"/>
                  <w:gridSpan w:val="3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一、本年新收政府信息公开申请数量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17" w:type="pct"/>
                  <w:gridSpan w:val="3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二、上年结转政府信息公开申请数量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restar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三、本年度办理结果</w:t>
                  </w:r>
                </w:p>
              </w:tc>
              <w:tc>
                <w:tcPr>
                  <w:tcW w:w="1645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hAnsi="楷体" w:eastAsia="楷体" w:cs="楷体"/>
                      <w:kern w:val="0"/>
                      <w:sz w:val="20"/>
                      <w:szCs w:val="20"/>
                    </w:rPr>
                    <w:t>（一）予以公开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7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645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（二）部分公开（区分处理的，只计这一情形，不计其他情形）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（三）不予公开</w:t>
                  </w: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1.属于国家秘密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2.其他法律行政法规禁止公开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3.危及“三安全一稳定”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4.保护第三方合法权益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5.属于三类内部事务信息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6.属于四类过程性信息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7.属于行政执法案卷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8.属于行政查询事项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（四）无法提供</w:t>
                  </w: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1.本机关不掌握相关政府信息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2.没有现成信息需要另行制作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3.补正后申请内容仍不明确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（五）不予处理</w:t>
                  </w: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1.信访举报投诉类申请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2.重复申请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3.要求提供公开出版物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4.无正当理由大量反复申请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471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17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5.要求行政机关确认或重新出具已获取信息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645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（六）其他处理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271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1645" w:type="pct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楷体" w:hAnsi="楷体" w:eastAsia="楷体" w:cs="楷体"/>
                      <w:kern w:val="0"/>
                      <w:sz w:val="20"/>
                      <w:szCs w:val="20"/>
                    </w:rPr>
                    <w:t>（七）总计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8" w:hRule="atLeast"/>
                <w:jc w:val="center"/>
              </w:trPr>
              <w:tc>
                <w:tcPr>
                  <w:tcW w:w="1917" w:type="pct"/>
                  <w:gridSpan w:val="3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left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四、结转下年度继续办理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8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  <w:r>
                    <w:rPr>
                      <w:rFonts w:hint="eastAsia" w:ascii="宋体"/>
                      <w:sz w:val="24"/>
                    </w:rPr>
                    <w:t>0</w:t>
                  </w:r>
                </w:p>
              </w:tc>
            </w:tr>
          </w:tbl>
          <w:p>
            <w:pPr>
              <w:pStyle w:val="5"/>
              <w:widowControl/>
              <w:numPr>
                <w:ilvl w:val="0"/>
                <w:numId w:val="1"/>
              </w:numPr>
              <w:spacing w:beforeAutospacing="0" w:afterAutospacing="0" w:line="660" w:lineRule="exact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政府信息公开行政复议、行政诉讼情况</w:t>
            </w:r>
          </w:p>
          <w:tbl>
            <w:tblPr>
              <w:tblStyle w:val="6"/>
              <w:tblW w:w="4999" w:type="pct"/>
              <w:jc w:val="center"/>
              <w:tblBorders>
                <w:top w:val="none" w:color="auto" w:sz="6" w:space="0"/>
                <w:left w:val="none" w:color="auto" w:sz="6" w:space="0"/>
                <w:bottom w:val="none" w:color="auto" w:sz="6" w:space="0"/>
                <w:right w:val="none" w:color="auto" w:sz="6" w:space="0"/>
                <w:insideH w:val="outset" w:color="auto" w:sz="6" w:space="0"/>
                <w:insideV w:val="outset" w:color="auto" w:sz="6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47"/>
              <w:gridCol w:w="647"/>
              <w:gridCol w:w="647"/>
              <w:gridCol w:w="647"/>
              <w:gridCol w:w="714"/>
              <w:gridCol w:w="589"/>
              <w:gridCol w:w="649"/>
              <w:gridCol w:w="649"/>
              <w:gridCol w:w="649"/>
              <w:gridCol w:w="653"/>
              <w:gridCol w:w="649"/>
              <w:gridCol w:w="650"/>
              <w:gridCol w:w="650"/>
              <w:gridCol w:w="652"/>
              <w:gridCol w:w="656"/>
            </w:tblGrid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694" w:type="pct"/>
                  <w:gridSpan w:val="5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行政复议</w:t>
                  </w:r>
                </w:p>
              </w:tc>
              <w:tc>
                <w:tcPr>
                  <w:tcW w:w="3305" w:type="pct"/>
                  <w:gridSpan w:val="10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行政诉讼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332" w:type="pct"/>
                  <w:vMerge w:val="restar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结果维持</w:t>
                  </w:r>
                </w:p>
              </w:tc>
              <w:tc>
                <w:tcPr>
                  <w:tcW w:w="332" w:type="pct"/>
                  <w:vMerge w:val="restar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结果纠正</w:t>
                  </w:r>
                </w:p>
              </w:tc>
              <w:tc>
                <w:tcPr>
                  <w:tcW w:w="332" w:type="pct"/>
                  <w:vMerge w:val="restar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其他结果</w:t>
                  </w:r>
                </w:p>
              </w:tc>
              <w:tc>
                <w:tcPr>
                  <w:tcW w:w="332" w:type="pct"/>
                  <w:vMerge w:val="restar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尚未审结</w:t>
                  </w:r>
                </w:p>
              </w:tc>
              <w:tc>
                <w:tcPr>
                  <w:tcW w:w="364" w:type="pct"/>
                  <w:vMerge w:val="restar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总计</w:t>
                  </w:r>
                </w:p>
              </w:tc>
              <w:tc>
                <w:tcPr>
                  <w:tcW w:w="1636" w:type="pct"/>
                  <w:gridSpan w:val="5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未经复议直接起诉</w:t>
                  </w:r>
                </w:p>
              </w:tc>
              <w:tc>
                <w:tcPr>
                  <w:tcW w:w="1668" w:type="pct"/>
                  <w:gridSpan w:val="5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复议后起诉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332" w:type="pct"/>
                  <w:vMerge w:val="continue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32" w:type="pct"/>
                  <w:vMerge w:val="continue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32" w:type="pct"/>
                  <w:vMerge w:val="continue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32" w:type="pct"/>
                  <w:vMerge w:val="continue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64" w:type="pct"/>
                  <w:vMerge w:val="continue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30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结果维持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结果纠正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其他结果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尚未审结</w:t>
                  </w:r>
                </w:p>
              </w:tc>
              <w:tc>
                <w:tcPr>
                  <w:tcW w:w="335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总计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结果维持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结果纠正</w:t>
                  </w:r>
                </w:p>
              </w:tc>
              <w:tc>
                <w:tcPr>
                  <w:tcW w:w="333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其他结果</w:t>
                  </w:r>
                </w:p>
              </w:tc>
              <w:tc>
                <w:tcPr>
                  <w:tcW w:w="334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尚未审结</w:t>
                  </w:r>
                </w:p>
              </w:tc>
              <w:tc>
                <w:tcPr>
                  <w:tcW w:w="335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总计</w:t>
                  </w:r>
                </w:p>
              </w:tc>
            </w:tr>
            <w:tr>
              <w:tblPrEx>
                <w:tblBorders>
                  <w:top w:val="none" w:color="auto" w:sz="6" w:space="0"/>
                  <w:left w:val="none" w:color="auto" w:sz="6" w:space="0"/>
                  <w:bottom w:val="none" w:color="auto" w:sz="6" w:space="0"/>
                  <w:right w:val="none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332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eastAsiaTheme="minorEastAsia"/>
                      <w:lang w:eastAsia="zh-CN"/>
                    </w:rPr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6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Calibri" w:hAnsi="Calibri" w:cs="Calibri"/>
                      <w:kern w:val="0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02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 0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 0</w:t>
                  </w:r>
                </w:p>
              </w:tc>
              <w:tc>
                <w:tcPr>
                  <w:tcW w:w="33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 0</w:t>
                  </w:r>
                </w:p>
              </w:tc>
              <w:tc>
                <w:tcPr>
                  <w:tcW w:w="333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0"/>
                      <w:szCs w:val="20"/>
                    </w:rPr>
                    <w:t>0 </w:t>
                  </w:r>
                </w:p>
              </w:tc>
              <w:tc>
                <w:tcPr>
                  <w:tcW w:w="334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widowControl/>
                    <w:spacing w:after="180"/>
                    <w:jc w:val="center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</w:rPr>
                    <w:t> 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0"/>
                      <w:szCs w:val="20"/>
                      <w:lang w:val="en-US" w:eastAsia="zh-CN"/>
                    </w:rPr>
                    <w:t>0</w:t>
                  </w:r>
                </w:p>
              </w:tc>
              <w:tc>
                <w:tcPr>
                  <w:tcW w:w="335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ascii="宋体"/>
                      <w:sz w:val="24"/>
                    </w:rPr>
                  </w:pPr>
                  <w:r>
                    <w:rPr>
                      <w:rFonts w:hint="eastAsia" w:ascii="宋体"/>
                      <w:sz w:val="24"/>
                    </w:rPr>
                    <w:t>0</w:t>
                  </w:r>
                </w:p>
              </w:tc>
            </w:tr>
          </w:tbl>
          <w:p>
            <w:pPr>
              <w:pStyle w:val="5"/>
              <w:widowControl/>
              <w:numPr>
                <w:ilvl w:val="0"/>
                <w:numId w:val="1"/>
              </w:numPr>
              <w:spacing w:beforeAutospacing="0" w:afterAutospacing="0" w:line="660" w:lineRule="exact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存在的主要问题及改进情况</w:t>
            </w:r>
          </w:p>
          <w:p>
            <w:pPr>
              <w:ind w:firstLine="640" w:firstLineChars="20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总结我局2020年政务公开工作的同时，也认识到还存在一些问题。一是对政务公开工作认识不足，不够重视。二是政务信息公开发布内容有待完善。20</w:t>
            </w:r>
            <w:r>
              <w:rPr>
                <w:rFonts w:ascii="仿宋" w:hAnsi="仿宋" w:eastAsia="仿宋" w:cs="宋体"/>
                <w:sz w:val="32"/>
                <w:szCs w:val="32"/>
              </w:rPr>
              <w:t>2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1年，我局将按照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政务公开的要求，做好几下几点：</w:t>
            </w:r>
          </w:p>
          <w:p>
            <w:pPr>
              <w:ind w:firstLine="640" w:firstLineChars="200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一是进一步提高对政务公开工作的认识，加强学习、教育和政务公开工作业务培训，保证政务公开工作的有效开展；二是提高信息发布质量，在做好日常政务信息公开网维护的同时，有针对性的发布政策解读、规范性文件等方面信息；三是进一步加强制度建设，把开展政务公开活动与工作实际紧密结合起来，努力开创政务公开的</w:t>
            </w:r>
            <w:r>
              <w:rPr>
                <w:rFonts w:hint="eastAsia" w:ascii="仿宋" w:hAnsi="仿宋" w:eastAsia="仿宋" w:cs="宋体"/>
                <w:sz w:val="32"/>
                <w:szCs w:val="32"/>
                <w:lang w:eastAsia="zh-CN"/>
              </w:rPr>
              <w:t>文旅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>特色，把我局政务公开工作不断推向规范化、制度化的新局面。</w:t>
            </w:r>
          </w:p>
          <w:p>
            <w:pPr>
              <w:pStyle w:val="5"/>
              <w:widowControl/>
              <w:numPr>
                <w:ilvl w:val="0"/>
                <w:numId w:val="1"/>
              </w:numPr>
              <w:spacing w:beforeAutospacing="0" w:afterAutospacing="0" w:line="660" w:lineRule="exact"/>
              <w:jc w:val="both"/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333333"/>
                <w:sz w:val="32"/>
                <w:szCs w:val="32"/>
              </w:rPr>
              <w:t>其他需要报告的事项</w:t>
            </w:r>
          </w:p>
          <w:p>
            <w:pPr>
              <w:pStyle w:val="5"/>
              <w:widowControl/>
              <w:spacing w:beforeAutospacing="0" w:afterAutospacing="0" w:line="432" w:lineRule="atLeast"/>
              <w:jc w:val="both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</w:rPr>
              <w:t xml:space="preserve">  </w:t>
            </w:r>
            <w:r>
              <w:rPr>
                <w:rFonts w:hint="eastAsia" w:ascii="仿宋" w:hAnsi="仿宋" w:eastAsia="仿宋" w:cs="宋体"/>
                <w:sz w:val="32"/>
                <w:szCs w:val="32"/>
              </w:rPr>
              <w:t xml:space="preserve">  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750" w:type="dxa"/>
            <w:shd w:val="clear" w:color="auto" w:fill="FFFFFF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333333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</w:rPr>
              <w:t xml:space="preserve">                                                        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 2021年1月27日</w:t>
            </w:r>
            <w:r>
              <w:rPr>
                <w:rFonts w:hint="eastAsia"/>
              </w:rPr>
              <w:t xml:space="preserve">   </w:t>
            </w:r>
          </w:p>
        </w:tc>
      </w:tr>
    </w:tbl>
    <w:p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701" w:bottom="124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A2507"/>
    <w:multiLevelType w:val="multilevel"/>
    <w:tmpl w:val="207A2507"/>
    <w:lvl w:ilvl="0" w:tentative="0">
      <w:start w:val="1"/>
      <w:numFmt w:val="japaneseCounting"/>
      <w:lvlText w:val="%1、"/>
      <w:lvlJc w:val="left"/>
      <w:pPr>
        <w:ind w:left="930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90369CA"/>
    <w:rsid w:val="000746F8"/>
    <w:rsid w:val="00094398"/>
    <w:rsid w:val="000F69A6"/>
    <w:rsid w:val="00106206"/>
    <w:rsid w:val="001542C3"/>
    <w:rsid w:val="0018362F"/>
    <w:rsid w:val="001D0FB5"/>
    <w:rsid w:val="00237C01"/>
    <w:rsid w:val="002777A2"/>
    <w:rsid w:val="00292A6E"/>
    <w:rsid w:val="003514B9"/>
    <w:rsid w:val="003C19C8"/>
    <w:rsid w:val="004A2D3C"/>
    <w:rsid w:val="00550DEB"/>
    <w:rsid w:val="00780372"/>
    <w:rsid w:val="007A394E"/>
    <w:rsid w:val="009A2107"/>
    <w:rsid w:val="009B756A"/>
    <w:rsid w:val="00A225D7"/>
    <w:rsid w:val="00A52B31"/>
    <w:rsid w:val="00AE2A83"/>
    <w:rsid w:val="00B7189C"/>
    <w:rsid w:val="00C96BCD"/>
    <w:rsid w:val="00CF5328"/>
    <w:rsid w:val="00D957F5"/>
    <w:rsid w:val="00E070DF"/>
    <w:rsid w:val="00E73AFB"/>
    <w:rsid w:val="00E8071E"/>
    <w:rsid w:val="00EB4635"/>
    <w:rsid w:val="00EE04CF"/>
    <w:rsid w:val="06DB422C"/>
    <w:rsid w:val="090369CA"/>
    <w:rsid w:val="1A4006C1"/>
    <w:rsid w:val="1AAE3F4E"/>
    <w:rsid w:val="21E85F99"/>
    <w:rsid w:val="2816584D"/>
    <w:rsid w:val="48A640C3"/>
    <w:rsid w:val="4EB32C54"/>
    <w:rsid w:val="5B6115DA"/>
    <w:rsid w:val="5B803F83"/>
    <w:rsid w:val="626F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421</Words>
  <Characters>2405</Characters>
  <Lines>20</Lines>
  <Paragraphs>5</Paragraphs>
  <TotalTime>9</TotalTime>
  <ScaleCrop>false</ScaleCrop>
  <LinksUpToDate>false</LinksUpToDate>
  <CharactersWithSpaces>2821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2021-01-26T09:36:00Z</dcterms:created>
  <dc:creator>王西西~</dc:creator>
  <cp:lastModifiedBy>Administrator</cp:lastModifiedBy>
  <cp:lastPrinted>2021-01-27T07:24:37Z</cp:lastPrinted>
  <dcterms:modified xsi:type="dcterms:W3CDTF">2021-01-27T07:36:18Z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