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 w:hAnsi="仿宋" w:eastAsia="仿宋" w:cs="仿宋"/>
          <w:sz w:val="32"/>
          <w:szCs w:val="32"/>
          <w:lang w:eastAsia="zh-CN"/>
        </w:rPr>
      </w:pPr>
    </w:p>
    <w:p>
      <w:pPr>
        <w:rPr>
          <w:rFonts w:hint="eastAsia" w:ascii="仿宋" w:hAnsi="仿宋" w:eastAsia="仿宋" w:cs="仿宋"/>
          <w:sz w:val="32"/>
          <w:szCs w:val="32"/>
          <w:lang w:eastAsia="zh-CN"/>
        </w:rPr>
      </w:pPr>
    </w:p>
    <w:p>
      <w:pPr>
        <w:rPr>
          <w:rFonts w:hint="eastAsia" w:ascii="仿宋" w:hAnsi="仿宋" w:eastAsia="仿宋" w:cs="仿宋"/>
          <w:sz w:val="32"/>
          <w:szCs w:val="32"/>
          <w:lang w:eastAsia="zh-CN"/>
        </w:rPr>
      </w:pPr>
    </w:p>
    <w:p>
      <w:pPr>
        <w:rPr>
          <w:rFonts w:hint="eastAsia" w:ascii="仿宋" w:hAnsi="仿宋" w:eastAsia="仿宋" w:cs="仿宋"/>
          <w:sz w:val="32"/>
          <w:szCs w:val="32"/>
          <w:lang w:eastAsia="zh-CN"/>
        </w:rPr>
      </w:pPr>
    </w:p>
    <w:p>
      <w:pPr>
        <w:rPr>
          <w:rFonts w:hint="eastAsia" w:ascii="仿宋" w:hAnsi="仿宋" w:eastAsia="仿宋" w:cs="仿宋"/>
          <w:sz w:val="32"/>
          <w:szCs w:val="32"/>
          <w:lang w:eastAsia="zh-CN"/>
        </w:rPr>
      </w:pPr>
    </w:p>
    <w:p>
      <w:pPr>
        <w:pStyle w:val="2"/>
        <w:rPr>
          <w:rFonts w:hint="eastAsia"/>
          <w:lang w:eastAsia="zh-CN"/>
        </w:rPr>
      </w:pPr>
    </w:p>
    <w:p>
      <w:pPr>
        <w:keepNext w:val="0"/>
        <w:keepLines w:val="0"/>
        <w:pageBreakBefore w:val="0"/>
        <w:widowControl w:val="0"/>
        <w:kinsoku/>
        <w:wordWrap/>
        <w:overflowPunct/>
        <w:topLinePunct w:val="0"/>
        <w:autoSpaceDE/>
        <w:autoSpaceDN/>
        <w:bidi w:val="0"/>
        <w:adjustRightInd/>
        <w:snapToGrid/>
        <w:spacing w:before="157" w:beforeLines="50"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仿宋" w:hAnsi="仿宋" w:eastAsia="仿宋" w:cs="仿宋"/>
          <w:sz w:val="32"/>
          <w:szCs w:val="32"/>
          <w:lang w:val="en-US" w:eastAsia="zh-CN"/>
        </w:rPr>
        <w:t>乡e镇</w:t>
      </w:r>
      <w:r>
        <w:rPr>
          <w:rFonts w:hint="eastAsia" w:ascii="仿宋" w:hAnsi="仿宋" w:eastAsia="仿宋" w:cs="仿宋"/>
          <w:sz w:val="32"/>
          <w:szCs w:val="32"/>
        </w:rPr>
        <w:t>发〔20</w:t>
      </w:r>
      <w:r>
        <w:rPr>
          <w:rFonts w:hint="eastAsia" w:ascii="仿宋" w:hAnsi="仿宋" w:eastAsia="仿宋" w:cs="仿宋"/>
          <w:sz w:val="32"/>
          <w:szCs w:val="32"/>
          <w:lang w:val="en-US" w:eastAsia="zh-CN"/>
        </w:rPr>
        <w:t>23</w:t>
      </w:r>
      <w:r>
        <w:rPr>
          <w:rFonts w:hint="eastAsia" w:ascii="仿宋" w:hAnsi="仿宋" w:eastAsia="仿宋" w:cs="仿宋"/>
          <w:sz w:val="32"/>
          <w:szCs w:val="32"/>
        </w:rPr>
        <w:t>〕</w:t>
      </w:r>
      <w:r>
        <w:rPr>
          <w:rFonts w:hint="eastAsia" w:ascii="仿宋" w:hAnsi="仿宋" w:eastAsia="仿宋" w:cs="仿宋"/>
          <w:sz w:val="32"/>
          <w:szCs w:val="32"/>
          <w:lang w:val="en-US" w:eastAsia="zh-CN"/>
        </w:rPr>
        <w:t>11</w:t>
      </w:r>
      <w:bookmarkStart w:id="0" w:name="_GoBack"/>
      <w:bookmarkEnd w:id="0"/>
      <w:r>
        <w:rPr>
          <w:rFonts w:hint="eastAsia" w:ascii="仿宋" w:hAnsi="仿宋" w:eastAsia="仿宋" w:cs="仿宋"/>
          <w:sz w:val="32"/>
          <w:szCs w:val="32"/>
        </w:rPr>
        <w:t>号</w:t>
      </w:r>
    </w:p>
    <w:p>
      <w:pPr>
        <w:keepNext w:val="0"/>
        <w:keepLines w:val="0"/>
        <w:pageBreakBefore w:val="0"/>
        <w:widowControl w:val="0"/>
        <w:kinsoku/>
        <w:wordWrap/>
        <w:overflowPunct/>
        <w:topLinePunct w:val="0"/>
        <w:autoSpaceDE/>
        <w:autoSpaceDN/>
        <w:bidi w:val="0"/>
        <w:adjustRightInd/>
        <w:snapToGrid/>
        <w:spacing w:before="313" w:beforeLines="100" w:line="640" w:lineRule="exact"/>
        <w:jc w:val="center"/>
        <w:textAlignment w:val="auto"/>
        <w:rPr>
          <w:rFonts w:hint="eastAsia" w:ascii="方正小标宋简体" w:hAnsi="方正小标宋简体" w:eastAsia="方正小标宋简体" w:cs="方正小标宋简体"/>
          <w:w w:val="1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乡宁县乡村e镇</w:t>
      </w:r>
      <w:r>
        <w:rPr>
          <w:rFonts w:hint="eastAsia" w:ascii="方正小标宋简体" w:hAnsi="方正小标宋简体" w:eastAsia="方正小标宋简体" w:cs="方正小标宋简体"/>
          <w:sz w:val="44"/>
          <w:szCs w:val="44"/>
          <w:lang w:val="en-US" w:eastAsia="zh-CN"/>
        </w:rPr>
        <w:t>仓储</w:t>
      </w:r>
      <w:r>
        <w:rPr>
          <w:rFonts w:hint="eastAsia" w:ascii="方正小标宋简体" w:hAnsi="方正小标宋简体" w:eastAsia="方正小标宋简体" w:cs="方正小标宋简体"/>
          <w:sz w:val="44"/>
          <w:szCs w:val="44"/>
        </w:rPr>
        <w:t>物流配送中心</w:t>
      </w: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仿宋_GB2312" w:hAnsi="仿宋_GB2312" w:eastAsia="仿宋_GB2312" w:cs="仿宋_GB2312"/>
          <w:sz w:val="32"/>
          <w:szCs w:val="32"/>
        </w:rPr>
      </w:pPr>
      <w:r>
        <w:rPr>
          <w:rFonts w:hint="eastAsia" w:ascii="方正小标宋简体" w:hAnsi="方正小标宋简体" w:eastAsia="方正小标宋简体" w:cs="方正小标宋简体"/>
          <w:sz w:val="44"/>
          <w:szCs w:val="44"/>
        </w:rPr>
        <w:t>日常管理规范</w:t>
      </w:r>
    </w:p>
    <w:p>
      <w:pPr>
        <w:keepNext w:val="0"/>
        <w:keepLines w:val="0"/>
        <w:pageBreakBefore w:val="0"/>
        <w:widowControl w:val="0"/>
        <w:kinsoku/>
        <w:wordWrap/>
        <w:overflowPunct/>
        <w:topLinePunct w:val="0"/>
        <w:autoSpaceDE/>
        <w:autoSpaceDN/>
        <w:bidi w:val="0"/>
        <w:adjustRightInd/>
        <w:snapToGrid/>
        <w:spacing w:line="660" w:lineRule="exact"/>
        <w:textAlignment w:val="auto"/>
        <w:rPr>
          <w:rFonts w:hint="eastAsia" w:ascii="仿宋_GB2312" w:hAnsi="仿宋_GB2312" w:eastAsia="仿宋_GB2312" w:cs="仿宋_GB2312"/>
          <w:sz w:val="10"/>
          <w:szCs w:val="10"/>
        </w:rPr>
      </w:pP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一、总则</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乡宁县乡村e镇</w:t>
      </w:r>
      <w:r>
        <w:rPr>
          <w:rFonts w:hint="eastAsia" w:ascii="仿宋_GB2312" w:hAnsi="仿宋_GB2312" w:eastAsia="仿宋_GB2312" w:cs="仿宋_GB2312"/>
          <w:sz w:val="32"/>
          <w:szCs w:val="32"/>
          <w:lang w:val="en-US" w:eastAsia="zh-CN"/>
        </w:rPr>
        <w:t>仓储</w:t>
      </w:r>
      <w:r>
        <w:rPr>
          <w:rFonts w:hint="eastAsia" w:ascii="仿宋_GB2312" w:hAnsi="仿宋_GB2312" w:eastAsia="仿宋_GB2312" w:cs="仿宋_GB2312"/>
          <w:sz w:val="32"/>
          <w:szCs w:val="32"/>
        </w:rPr>
        <w:t>物流配送中心（以下简称“配送中心”）为确保日常运作顺畅，特制定本管理规范。本规范适用于配送中心内部管理及与外部合作伙伴的协作。</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二、总经理岗位职责</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执行党的各项方针政策，遵守法律、法令，执行主管部门的指示，吸收职工代表大会的建设，正确处理三者关系。</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做好</w:t>
      </w:r>
      <w:r>
        <w:rPr>
          <w:rFonts w:hint="eastAsia" w:ascii="仿宋_GB2312" w:hAnsi="仿宋_GB2312" w:eastAsia="仿宋_GB2312" w:cs="仿宋_GB2312"/>
          <w:sz w:val="32"/>
          <w:szCs w:val="32"/>
        </w:rPr>
        <w:t>市场调查，不断掌握市场信息，学习外部经验，牢固树立竞争观念，信息观念，效益观念，人才观念。</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根据上级主管部门的指示精神，结合本公司实际情况，制定长远发展计划和年度计划，实行目标管理。组织各部门全面完成上级下达的各项生产指标和年度指标。</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抓好各项管理工作，建立健全各项规章制度，提高全公司人员的素质和经济效益，抓好各项工作。</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加强班子队伍的建设，做好本公司工作人员的思想工作，经常组织业务培训，丰富职工的文化娱乐生活。</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定期检查各项规章制度的执行情况，包括财务账目，税利上交，以及年度经营等，特别是各项指标任务完成情况。</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三、会计岗位职责</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按照国家规定的财经制度，认真编制并严格执行财务计划，建立健全各种帐薄，进行本公司的全面核算业务，合理留存现金，保证公司正常运行。</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按公司的资金使用情况，及时报请总经理，安排催收应收账款和其他借款，督促业务员及时催收。</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会计负责管理现金和银行往来结算，严格遵守银行现金管理条例和应收账款、催收回笼工作。</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按照会计法规定，算账、报账、手续完备。内容真实，数字准确，账目清楚，有相关领导签字，日结月清，按时报账。</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会计负责资金管理，根据公司经营状况，做好资金供应，为更好的加速资金周转，提出资金使用计划，保证资金管理应用，并定期于与有关部门核对账目。</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妥善保管会计凭证，帐薄和报表。</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四、装卸人员安全生产岗位职责</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服从分配，听从指挥，并严格遵守公司的各项规章制度和有关规定。</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负责快件的装车卸货工作。</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爱护装卸工具。</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加强装卸意识，严防装卸事故的发生。</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提高装卸工作质量，保证快件不受人为的损坏。</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对在装卸过程中损坏的快件要负责或赔偿。</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严禁装卸人员有违反装卸规定的行为发生。</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积极配合分拣员安排临时工作。</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五、分拣员安全生产岗位职责</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正确安排货物仓位，合理调配装卸工进行装卸、搬运作业，监督作业的正确性和安全性</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指导、检查和监督仓库现场作业和管理情况，保证货物的安全，设施设备的完好，现场整洁。</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核查到库车辆的正确性和完好性，快件异常情况的记录、报告和改进措施的实施。</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做好货物接收、入仓库手续的办理，入库、发送货物的统计，在库货物的盘点、统计和交接。</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负责仓库防火、防水、防爆、防盗、防损等安全检查工作。</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向操作经理报告货物接收、保存、发送及相关工作，实施相应的改进措施。</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参加公司培训和相关活动。</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完成上级领导临时安排的工作任务。</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六、客服人员安全工作岗位职责</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对临时出现的各种情况依据权限及时处理，避免或减少业务风险。</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接受客户咨询，记录客户咨询、投诉内容，按照相应流程给予客户反馈。</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具备沟通及疑难问题服务的意识，为客户提供完整准确的解决方案及信息，解决客户问题，提供高质量服务。</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遇到不能解决的问题按流程提交相关人员或主管处理，并跟踪进展直至解决。</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严格按规范及流程进行工作或相关操作。</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制定客户开发计划，掌握客户开发情况，确保客户质量。</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负责对客户的管理，维护良好的交易秩序，稳定客户队伍，有权根据相关规定对客户进行管理。</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七、业务员安全生产岗位职责</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按照公司要求安全、快速、准确地完成日常收派件工作。</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保证客户快件不受损失，确保公司利益不受侵害。</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做好客户快件的运输及包装工作，维护公司良好的客户声誉。</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及时回收散单货款和及时回收月结款项，并在规定时间内如数上缴财务入帐。</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学习、推广新业务、项目操作流程，并进行宣传、推广;负责区域内老客户的维户。</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辅导新入职员工，帮助新员工提升业务水平。</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装车时保证产品的整齐码放，确保送货途中的货物安全。</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每天送货前要检查车辆的性能等，确保安全，发现问题及时上报主管。</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负责送货车辆的清洁卫生，日常维护等。</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遵守公司各项规章制度。</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八、安全员安全生产岗位职责</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认真学习和严格遵守各项规章制度，不违反劳动纪律，不违章作业，对本岗位的安全生产负直接责任。</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精心操作，严格执行工艺纪律和操作纪律，做好各项记录，交接班必须交接安全情况，交班要为接班创造安全生产的良好条件。</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正确分析、判断和处理各种事故苗头，把事故消灭在萌芽状态。如发生事故，要果断正确处理，及时如实地向上级报告，并保护现场，做好详细记录。</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按时认真进行巡回检查，发现异常情况及时处理和报告。</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正确操作、精心维护设备，保持作业环境整洁，搞好文明生产。</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上岗必须按规定着装，妥善保管、正确使用各种防护器具和灭火器材。</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积极参加各种安全活动、岗位技术练兵和事故预知训练。</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有权拒绝违章作业的指令，对他人违章作业加以劝阻和制止。</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九、驾驶员安全工作岗位职责</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驾驶员必须严格要求自己，遵纪守法，维护道路交通安全，具备文明服务的思想，遵守职业道德。</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驾驶员要牢固树立“安全第一、预防为主，以人为本”的安全教育培训，提高道路交通安全意识。</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驾驶员必须服从公安交警、交通运政和交通安全管理部门的指挥、检查和调度。严禁酒后开车，杜绝“超速车”、“超员车”、“带病车”、“疲劳车”和其它违法冒险车。</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车辆起步前，驾驶员必须认真仔细查看车辆各车门是否关好、关紧，各种仪表指示是否正常。</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营运车辆驾驶员必须配备“三防设备”(防雨、防雾、防滑)，按规定配</w:t>
      </w:r>
      <w:r>
        <w:rPr>
          <w:rFonts w:hint="eastAsia" w:ascii="仿宋_GB2312" w:hAnsi="仿宋_GB2312" w:eastAsia="仿宋_GB2312" w:cs="仿宋_GB2312"/>
          <w:sz w:val="32"/>
          <w:szCs w:val="32"/>
          <w:lang w:val="en-US" w:eastAsia="zh-CN"/>
        </w:rPr>
        <w:t>备</w:t>
      </w:r>
      <w:r>
        <w:rPr>
          <w:rFonts w:hint="eastAsia" w:ascii="仿宋_GB2312" w:hAnsi="仿宋_GB2312" w:eastAsia="仿宋_GB2312" w:cs="仿宋_GB2312"/>
          <w:sz w:val="32"/>
          <w:szCs w:val="32"/>
        </w:rPr>
        <w:t>有效的灭火器具，保证各种安全设施、消防设施齐全有效，灭火器应置于方便提取之处，杜绝火灾隐患。</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行车期间，必须严格制定科学的信息时间以保证充足的睡眠时刻保证充分的精力和良好的精神状态。</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行车时，必须做到行车三检查(出车前的检查、行车中的检查、收车后的检查)和“三勤(勤检查、勤调校、勤保养)，按时进行各级保养维修，按时参加安检和年度检验。</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十、安检员安全工作岗位职责</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认真贯彻执行《安全生产法》和上级部门有关文件精神，结合快递行业实际情况，对所有收寄的快件，进行严格认真的安全检查，确保安全。</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每天按规定时间开关安检机，在安检机运作过程中，对所有收寄的快递过安检机，并严格进行监控。</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严格进行违禁品检查，将违禁品堵截在收寄的门槛外，发现有疑似违禁品时，要及时隔离并开箱验视。发现有携带枪支弹药的立刻向公安机关和值班领导报告，并做好保护现场的工作。</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每天必须做好安检机的工作日志和检查记录工作，并将所缴物品移交有关职能部门处理。</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熟练掌握安检机的正确操作程序和技能，努力提高对违禁品的认知能力监测快件，杜绝违禁品通过快递流出，收缴违禁品做好登记工作，下班时统一上交。</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安检员根据“逢疑必查”的要求，隔离需开包检查的物品，由安检人员实施开包检查。对可疑物品进行辨别，发现可疑情况进行重点检查。安检员应规范填写《安检工作登记簿》，全面记录安检工作情况。对安检过程中发现的危险、违禁品应当登记。</w:t>
      </w:r>
    </w:p>
    <w:p>
      <w:pPr>
        <w:keepNext w:val="0"/>
        <w:keepLines w:val="0"/>
        <w:pageBreakBefore w:val="0"/>
        <w:widowControl w:val="0"/>
        <w:kinsoku/>
        <w:wordWrap/>
        <w:overflowPunct/>
        <w:topLinePunct w:val="0"/>
        <w:autoSpaceDE/>
        <w:autoSpaceDN/>
        <w:bidi w:val="0"/>
        <w:adjustRightInd/>
        <w:snapToGrid/>
        <w:spacing w:line="66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660" w:lineRule="exact"/>
        <w:jc w:val="righ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660" w:lineRule="exact"/>
        <w:jc w:val="righ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乡宁县乡村e镇工作领导小组</w:t>
      </w:r>
      <w:r>
        <w:rPr>
          <w:rFonts w:hint="eastAsia" w:ascii="仿宋_GB2312" w:hAnsi="仿宋_GB2312" w:eastAsia="仿宋_GB2312" w:cs="仿宋_GB2312"/>
          <w:sz w:val="32"/>
          <w:szCs w:val="32"/>
          <w:lang w:val="en-US" w:eastAsia="zh-CN"/>
        </w:rPr>
        <w:t>办公室</w:t>
      </w:r>
      <w:r>
        <w:rPr>
          <w:rFonts w:hint="eastAsia" w:ascii="仿宋_GB2312" w:hAnsi="仿宋_GB2312" w:eastAsia="仿宋_GB2312" w:cs="仿宋_GB2312"/>
          <w:sz w:val="32"/>
          <w:szCs w:val="32"/>
        </w:rPr>
        <w:t>（代章）</w:t>
      </w:r>
    </w:p>
    <w:p>
      <w:pPr>
        <w:keepNext w:val="0"/>
        <w:keepLines w:val="0"/>
        <w:pageBreakBefore w:val="0"/>
        <w:widowControl w:val="0"/>
        <w:kinsoku/>
        <w:wordWrap/>
        <w:overflowPunct/>
        <w:topLinePunct w:val="0"/>
        <w:autoSpaceDE/>
        <w:autoSpaceDN/>
        <w:bidi w:val="0"/>
        <w:adjustRightInd/>
        <w:snapToGrid/>
        <w:spacing w:line="660" w:lineRule="exact"/>
        <w:ind w:firstLine="3200" w:firstLineChars="10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2023年</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日</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hjYWQyNWNkMTQ0NTI2NWQzNmIwYzczNGI0NmFhMTkifQ=="/>
  </w:docVars>
  <w:rsids>
    <w:rsidRoot w:val="00000000"/>
    <w:rsid w:val="05504736"/>
    <w:rsid w:val="11616FF2"/>
    <w:rsid w:val="182A3346"/>
    <w:rsid w:val="24D740D4"/>
    <w:rsid w:val="28013942"/>
    <w:rsid w:val="297F6151"/>
    <w:rsid w:val="2A094D30"/>
    <w:rsid w:val="2AD215C5"/>
    <w:rsid w:val="33260700"/>
    <w:rsid w:val="57694504"/>
    <w:rsid w:val="637A622C"/>
    <w:rsid w:val="63DB333B"/>
    <w:rsid w:val="66493792"/>
    <w:rsid w:val="67D16185"/>
    <w:rsid w:val="6FC14D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spacing w:before="100" w:beforeAutospacing="1" w:after="100" w:afterAutospacing="1"/>
      <w:jc w:val="left"/>
      <w:outlineLvl w:val="1"/>
    </w:pPr>
    <w:rPr>
      <w:rFonts w:hint="eastAsia" w:ascii="宋体" w:hAnsi="宋体" w:eastAsia="宋体" w:cs="宋体"/>
      <w:b/>
      <w:kern w:val="0"/>
      <w:sz w:val="36"/>
      <w:szCs w:val="36"/>
      <w:lang w:val="en-US" w:eastAsia="zh-CN" w:bidi="ar"/>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3">
    <w:name w:val="annotation text"/>
    <w:basedOn w:val="1"/>
    <w:autoRedefine/>
    <w:qFormat/>
    <w:uiPriority w:val="0"/>
    <w:pPr>
      <w:jc w:val="left"/>
    </w:pPr>
  </w:style>
  <w:style w:type="paragraph" w:styleId="4">
    <w:name w:val="footer"/>
    <w:basedOn w:val="1"/>
    <w:autoRedefine/>
    <w:qFormat/>
    <w:uiPriority w:val="0"/>
    <w:pPr>
      <w:tabs>
        <w:tab w:val="center" w:pos="4153"/>
        <w:tab w:val="right" w:pos="8306"/>
      </w:tabs>
      <w:snapToGrid w:val="0"/>
      <w:jc w:val="left"/>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2024-03-03T12:31:00Z</dcterms:created>
  <dc:creator>1</dc:creator>
  <cp:lastModifiedBy>米粒</cp:lastModifiedBy>
  <cp:lastPrinted>2024-03-04T01:12:00Z</cp:lastPrinted>
  <dcterms:modified xsi:type="dcterms:W3CDTF">2024-03-06T07:54:05Z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900E971905B1403EB66EA577121B5A09_13</vt:lpwstr>
  </property>
</Properties>
</file>